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6.jpg" ContentType="image/jpeg"/>
  <Override PartName="/word/media/rId98.png" ContentType="image/png"/>
  <Override PartName="/word/media/rId85.png" ContentType="image/png"/>
  <Override PartName="/word/media/rId93.png" ContentType="image/png"/>
  <Override PartName="/word/media/rId89.png" ContentType="image/png"/>
  <Override PartName="/word/media/rId491.jpg" ContentType="image/jpeg"/>
  <Override PartName="/word/media/rId410.png" ContentType="image/png"/>
  <Override PartName="/word/media/rId437.png" ContentType="image/png"/>
  <Override PartName="/word/media/rId385.svg" ContentType="image/svg+xml"/>
  <Override PartName="/word/media/rId380.svg" ContentType="image/svg+xml"/>
  <Override PartName="/word/media/rId394.svg" ContentType="image/svg+xml"/>
  <Override PartName="/word/media/rId399.svg" ContentType="image/svg+xml"/>
  <Override PartName="/word/media/rId404.svg" ContentType="image/svg+xml"/>
  <Override PartName="/word/media/rId221.jpg" ContentType="image/jpeg"/>
  <Override PartName="/word/media/rId420.png" ContentType="image/png"/>
  <Override PartName="/word/media/rId390.png" ContentType="image/png"/>
  <Override PartName="/word/media/rId81.png" ContentType="image/png"/>
  <Override PartName="/word/media/rId364.png" ContentType="image/png"/>
  <Override PartName="/word/media/rId370.png" ContentType="image/png"/>
  <Override PartName="/word/media/rId216.png" ContentType="image/png"/>
  <Override PartName="/word/media/rId211.png" ContentType="image/png"/>
  <Override PartName="/word/media/rId202.png" ContentType="image/png"/>
  <Override PartName="/word/media/rId198.png" ContentType="image/png"/>
  <Override PartName="/word/media/rId184.png" ContentType="image/png"/>
  <Override PartName="/word/media/rId505.png" ContentType="image/png"/>
  <Override PartName="/word/media/rId426.png" ContentType="image/png"/>
  <Override PartName="/word/media/rId233.png" ContentType="image/png"/>
  <Override PartName="/word/media/rId70.png" ContentType="image/png"/>
  <Override PartName="/word/media/rId104.png" ContentType="image/png"/>
  <Override PartName="/word/media/rId109.png" ContentType="image/png"/>
  <Override PartName="/word/media/rId125.png" ContentType="image/png"/>
  <Override PartName="/word/media/rId129.png" ContentType="image/png"/>
  <Override PartName="/word/media/rId120.png" ContentType="image/png"/>
  <Override PartName="/word/media/rId115.png" ContentType="image/png"/>
  <Override PartName="/word/media/rId432.png" ContentType="image/png"/>
  <Override PartName="/word/media/rId59.png" ContentType="image/png"/>
  <Override PartName="/word/media/rId350.jpg" ContentType="image/jpeg"/>
  <Override PartName="/word/media/rId292.png" ContentType="image/png"/>
  <Override PartName="/word/media/rId296.png" ContentType="image/png"/>
  <Override PartName="/word/media/rId288.png" ContentType="image/png"/>
  <Override PartName="/word/media/rId336.png" ContentType="image/png"/>
  <Override PartName="/word/media/rId160.png" ContentType="image/png"/>
  <Override PartName="/word/media/rId331.png" ContentType="image/png"/>
  <Override PartName="/word/media/rId180.png" ContentType="image/png"/>
  <Override PartName="/word/media/rId174.png" ContentType="image/png"/>
  <Override PartName="/word/media/rId452.png" ContentType="image/png"/>
  <Override PartName="/word/media/rId50.png" ContentType="image/png"/>
  <Override PartName="/word/media/rId416.png" ContentType="image/png"/>
  <Override PartName="/word/media/rId323.png" ContentType="image/png"/>
  <Override PartName="/word/media/rId340.png" ContentType="image/png"/>
  <Override PartName="/word/media/rId327.png" ContentType="image/png"/>
  <Override PartName="/word/media/rId307.png" ContentType="image/png"/>
  <Override PartName="/word/media/rId152.png" ContentType="image/png"/>
  <Override PartName="/word/media/rId229.png" ContentType="image/png"/>
  <Override PartName="/word/media/rId543.png" ContentType="image/png"/>
  <Override PartName="/word/media/rId314.png" ContentType="image/png"/>
  <Override PartName="/word/media/rId345.png" ContentType="image/png"/>
  <Override PartName="/word/media/rId512.png" ContentType="image/png"/>
  <Override PartName="/word/media/rId559.png" ContentType="image/png"/>
  <Override PartName="/word/media/rId239.png" ContentType="image/png"/>
  <Override PartName="/word/media/rId266.svg" ContentType="image/svg+xml"/>
  <Override PartName="/word/media/rId272.svg" ContentType="image/svg+xml"/>
  <Override PartName="/word/media/rId269.png" ContentType="image/png"/>
  <Override PartName="/word/media/rId275.png" ContentType="image/png"/>
  <Override PartName="/word/media/rId383.png" ContentType="image/png"/>
  <Override PartName="/word/media/rId388.png" ContentType="image/png"/>
  <Override PartName="/word/media/rId397.png" ContentType="image/png"/>
  <Override PartName="/word/media/rId402.png" ContentType="image/png"/>
  <Override PartName="/word/media/rId40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Tout mes remerciement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 et sourires, ses conseils précieux et son amitié m’accompagnent bien au-delà du cadre universitaires…</w:t>
      </w:r>
    </w:p>
    <w:p>
      <w:pPr>
        <w:pStyle w:val="BodyText"/>
      </w:pPr>
      <w:r>
        <w:t xml:space="preserve">Mercis de tout mon coeur à Marina, Alexandre, Frédérik et Lucie pour leurs patiences, encouragements et soutiens tout au long de ce parcours où je n’étais pas toujours disponibles pour eux…</w:t>
      </w:r>
    </w:p>
    <w:p>
      <w:pPr>
        <w:pStyle w:val="BodyText"/>
      </w:pPr>
      <w:r>
        <w:t xml:space="preserve">Enfin, mercis très chaleureux à mes collègues…</w:t>
      </w:r>
    </w:p>
    <w:bookmarkEnd w:id="24"/>
    <w:bookmarkStart w:id="35" w:name="sec-avantpropos"/>
    <w:p>
      <w:pPr>
        <w:pStyle w:val="Heading1"/>
      </w:pPr>
      <w:r>
        <w:t xml:space="preserve">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A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explorant ce milieu de connaissances, je vous propose de formaliser vos propres traces et d’exprimer vos points de vue en les rendant facilement accessible aux autres chercheurs dans un soucis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9" w:name="sec-part-introGen"/>
    <w:p>
      <w:pPr>
        <w:pStyle w:val="Heading1"/>
      </w:pPr>
      <w:r>
        <w:t xml:space="preserve">Introduction générale</w:t>
      </w:r>
    </w:p>
    <w:bookmarkStart w:id="36" w:name="exergue1"/>
    <w:p>
      <w:pPr>
        <w:pStyle w:val="FirstParagraph"/>
      </w:pPr>
      <w:r>
        <w:t xml:space="preserve">« tous les systèmes de modélisation se valent,</w:t>
      </w:r>
      <w:r>
        <w:br/>
      </w:r>
      <w:r>
        <w:t xml:space="preserve">tous sont acceptables,</w:t>
      </w:r>
      <w:r>
        <w:br/>
      </w:r>
      <w:r>
        <w:t xml:space="preserve">mais uniquement dans la mesure</w:t>
      </w:r>
      <w:r>
        <w:br/>
      </w:r>
      <w:r>
        <w:t xml:space="preserve">où leurs principes d’intelligibilité</w:t>
      </w:r>
      <w:r>
        <w:br/>
      </w:r>
      <w:r>
        <w:t xml:space="preserve">renoncent à toute prétention universaliste »</w:t>
      </w:r>
      <w:r>
        <w:br/>
      </w:r>
      <w:r>
        <w:t xml:space="preserve">(Guattari, 1989, p. 10)</w:t>
      </w:r>
    </w:p>
    <w:bookmarkEnd w:id="36"/>
    <w:bookmarkStart w:id="37"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p. 362)</w:t>
      </w:r>
    </w:p>
    <w:bookmarkEnd w:id="37"/>
    <w:p>
      <w:pPr>
        <w:pStyle w:val="BodyText"/>
      </w:pPr>
      <w:r>
        <w:t xml:space="preserve">La démarche auto-réflexive que j’ai mené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&amp;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Cartographier c’est à la fois explorer, formaliser et guider. Tout commence par la découverte d’un lieu, par l’expérience d’un espace dont on va ensuite décrire les impressions qu’il produit suivant des règles convenues pour que d’autres puisses les retrouver après soi-même.</w:t>
      </w:r>
    </w:p>
    <w:p>
      <w:pPr>
        <w:pStyle w:val="BodyText"/>
      </w:pPr>
      <w:r>
        <w:t xml:space="preserve">Les espaces que nous décrivons sont des milieux, c’est à dire un tissu relationnel au sein duquel les connaissances existent, et sans lequel elles n’existeraient pas</w:t>
      </w:r>
      <w:r>
        <w:t xml:space="preserve"> </w:t>
      </w:r>
      <w:r>
        <w:t xml:space="preserve">(Berque, 2009a, p. 146)</w:t>
      </w:r>
      <w:r>
        <w:t xml:space="preserve">. Ce sont des espaces vivants qui évoluent sans cesse et nous transforment à chaque interaction que nous entretenons avec eux</w:t>
      </w:r>
      <w:r>
        <w:t xml:space="preserve">(Aït-Touati, Arènes, &amp; Grégoire, 2019)</w:t>
      </w:r>
      <w:r>
        <w:t xml:space="preserve">. Suivant le principe d’énaction</w:t>
      </w:r>
      <w:r>
        <w:t xml:space="preserve"> </w:t>
      </w:r>
      <w:r>
        <w:t xml:space="preserve">(Maturana &amp; Varela, 1994)</w:t>
      </w:r>
      <w:r>
        <w:t xml:space="preserve">, le couplage entre l’espace et l’auteur de sa description transforme à la fois l’espace et l’auteur. Cartographier c’est se connaître soi-même en modélisant le milieu de ses expériences et en réfléchissant aux transformations que cela produit.</w:t>
      </w:r>
    </w:p>
    <w:p>
      <w:pPr>
        <w:pStyle w:val="BodyText"/>
      </w:pPr>
      <w:r>
        <w:t xml:space="preserve">Les cartes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caractérisent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&amp;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cartographies que nous présentons en espérant que la pêche aux connaissances sera fructueuse pour vous, elle l’est déjà pour moi.</w:t>
      </w:r>
    </w:p>
    <w:bookmarkStart w:id="38" w:name="sec-planVolume"/>
    <w:p>
      <w:pPr>
        <w:pStyle w:val="Heading2"/>
      </w:pPr>
      <w:r>
        <w:t xml:space="preserve">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&amp; Malingre, 2022)</w:t>
      </w:r>
      <w:r>
        <w:t xml:space="preserve">.</w:t>
      </w:r>
      <w:r>
        <w:t xml:space="preserve"> </w:t>
      </w:r>
      <w:r>
        <w:t xml:space="preserve">Nous suivons un processus d’exploration qui commence par la présentation</w:t>
      </w:r>
      <w:r>
        <w:t xml:space="preserve"> </w:t>
      </w:r>
      <w:r>
        <w:t xml:space="preserve">des étapes de mon parcours intellectuel</w:t>
      </w:r>
      <w:r>
        <w:t xml:space="preserve"> </w:t>
      </w:r>
      <w:hyperlink w:anchor="sec-positionnements">
        <w:r>
          <w:rPr>
            <w:rStyle w:val="Hyperlink"/>
          </w:rPr>
          <w:t xml:space="preserve">Chapter 1</w:t>
        </w:r>
      </w:hyperlink>
      <w:r>
        <w:t xml:space="preserve"> </w:t>
      </w:r>
      <w:r>
        <w:t xml:space="preserve">à travers mes frayages intellectuelles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 Ce chapitre présente l’état actuel de mes positions scientifiques dans les sciences de l’information et de la communication et plus globalement dans les sciences humaines à partir d’une veille informationnelle dont nous détaillerons le processus et les résultats.</w:t>
      </w:r>
    </w:p>
    <w:p>
      <w:pPr>
        <w:pStyle w:val="BodyText"/>
      </w:pPr>
      <w:r>
        <w:t xml:space="preserve">Nous verrons ensuite dans un troisième chapitre les résultats</w:t>
      </w:r>
      <w:r>
        <w:t xml:space="preserve"> </w:t>
      </w:r>
      <w:hyperlink w:anchor="sec-resultats">
        <w:r>
          <w:rPr>
            <w:rStyle w:val="Hyperlink"/>
          </w:rPr>
          <w:t xml:space="preserve">Chapter 5</w:t>
        </w:r>
      </w:hyperlink>
      <w:r>
        <w:t xml:space="preserve"> </w:t>
      </w:r>
      <w:r>
        <w:t xml:space="preserve">de ce parcours de recherche en matière :</w:t>
      </w:r>
    </w:p>
    <w:p>
      <w:pPr>
        <w:numPr>
          <w:ilvl w:val="0"/>
          <w:numId w:val="1003"/>
        </w:numPr>
        <w:pStyle w:val="Compact"/>
      </w:pPr>
      <w:r>
        <w:t xml:space="preserve">cartographier les connaissances</w:t>
      </w:r>
      <w:r>
        <w:t xml:space="preserve"> </w:t>
      </w:r>
      <w:hyperlink w:anchor="sec-principesCarto">
        <w:r>
          <w:rPr>
            <w:rStyle w:val="Hyperlink"/>
          </w:rPr>
          <w:t xml:space="preserve">Chapter 2</w:t>
        </w:r>
      </w:hyperlink>
      <w:r>
        <w:t xml:space="preserve">,</w:t>
      </w:r>
    </w:p>
    <w:p>
      <w:pPr>
        <w:numPr>
          <w:ilvl w:val="0"/>
          <w:numId w:val="1003"/>
        </w:numPr>
        <w:pStyle w:val="Compact"/>
      </w:pPr>
      <w:r>
        <w:t xml:space="preserve">d’utilisation de l’analogie écosystèmique</w:t>
      </w:r>
      <w:r>
        <w:t xml:space="preserve"> </w:t>
      </w:r>
      <w:hyperlink w:anchor="sec-analogieEcosysteme">
        <w:r>
          <w:rPr>
            <w:rStyle w:val="Hyperlink"/>
          </w:rPr>
          <w:t xml:space="preserve">Section 5.0.1</w:t>
        </w:r>
      </w:hyperlink>
      <w:r>
        <w:t xml:space="preserve">,</w:t>
      </w:r>
    </w:p>
    <w:p>
      <w:pPr>
        <w:numPr>
          <w:ilvl w:val="0"/>
          <w:numId w:val="1003"/>
        </w:numPr>
        <w:pStyle w:val="Compact"/>
      </w:pPr>
      <w:r>
        <w:t xml:space="preserve">de modélisation d’une ontologie-éthique</w:t>
      </w:r>
      <w:r>
        <w:t xml:space="preserve"> </w:t>
      </w:r>
      <w:hyperlink w:anchor="sec-modeleOntoEthique">
        <w:r>
          <w:rPr>
            <w:rStyle w:val="Hyperlink"/>
          </w:rPr>
          <w:t xml:space="preserve">Section 5.0.2</w:t>
        </w:r>
      </w:hyperlink>
      <w:r>
        <w:t xml:space="preserve">,</w:t>
      </w:r>
    </w:p>
    <w:p>
      <w:pPr>
        <w:numPr>
          <w:ilvl w:val="0"/>
          <w:numId w:val="1003"/>
        </w:numPr>
        <w:pStyle w:val="Compact"/>
      </w:pPr>
      <w:r>
        <w:t xml:space="preserve">de calcul de la complexité info-communicationnelle</w:t>
      </w:r>
      <w:r>
        <w:t xml:space="preserve"> </w:t>
      </w:r>
      <w:hyperlink w:anchor="sec-complexiteExitentielle">
        <w:r>
          <w:rPr>
            <w:rStyle w:val="Hyperlink"/>
          </w:rPr>
          <w:t xml:space="preserve">Section 5.0.3</w:t>
        </w:r>
      </w:hyperlink>
      <w:r>
        <w:t xml:space="preserve">,</w:t>
      </w:r>
    </w:p>
    <w:p>
      <w:pPr>
        <w:numPr>
          <w:ilvl w:val="0"/>
          <w:numId w:val="1003"/>
        </w:numPr>
        <w:pStyle w:val="Compact"/>
      </w:pPr>
      <w:r>
        <w:t xml:space="preserve">de conception diagrammatique et de crible</w:t>
      </w:r>
      <w:r>
        <w:t xml:space="preserve"> </w:t>
      </w:r>
      <w:hyperlink w:anchor="sec-diagrammesCribles">
        <w:r>
          <w:rPr>
            <w:rStyle w:val="Hyperlink"/>
          </w:rPr>
          <w:t xml:space="preserve">Section 5.0.4</w:t>
        </w:r>
      </w:hyperlink>
    </w:p>
    <w:p>
      <w:pPr>
        <w:numPr>
          <w:ilvl w:val="0"/>
          <w:numId w:val="1003"/>
        </w:numPr>
        <w:pStyle w:val="Compact"/>
      </w:pPr>
      <w:r>
        <w:t xml:space="preserve">d’interaction avec des cartographies sémantiques</w:t>
      </w:r>
      <w:r>
        <w:t xml:space="preserve"> </w:t>
      </w:r>
      <w:hyperlink w:anchor="sec-cartoSemantique">
        <w:r>
          <w:rPr>
            <w:rStyle w:val="Hyperlink"/>
          </w:rPr>
          <w:t xml:space="preserve">Section 5.0.5</w:t>
        </w:r>
      </w:hyperlink>
      <w:r>
        <w:t xml:space="preserve">,</w:t>
      </w:r>
    </w:p>
    <w:p>
      <w:pPr>
        <w:numPr>
          <w:ilvl w:val="0"/>
          <w:numId w:val="1003"/>
        </w:numPr>
        <w:pStyle w:val="Compact"/>
      </w:pPr>
      <w:r>
        <w:t xml:space="preserve">d’outillage pour les humanités numériques</w:t>
      </w:r>
      <w:r>
        <w:t xml:space="preserve"> </w:t>
      </w:r>
      <w:hyperlink w:anchor="sec-protosHN">
        <w:r>
          <w:rPr>
            <w:rStyle w:val="Hyperlink"/>
          </w:rPr>
          <w:t xml:space="preserve">Section 5.0.6</w:t>
        </w:r>
      </w:hyperlink>
      <w:r>
        <w:t xml:space="preserve">.</w:t>
      </w:r>
    </w:p>
    <w:p>
      <w:pPr>
        <w:pStyle w:val="FirstParagraph"/>
      </w:pPr>
      <w:r>
        <w:t xml:space="preserve">Le dernier chapitre de ce volume est consacré sur mes visées scientifiques</w:t>
      </w:r>
      <w:r>
        <w:t xml:space="preserve"> </w:t>
      </w:r>
      <w:hyperlink w:anchor="sec-visees">
        <w:r>
          <w:rPr>
            <w:rStyle w:val="Hyperlink"/>
          </w:rPr>
          <w:t xml:space="preserve">Chapter 3</w:t>
        </w:r>
      </w:hyperlink>
      <w:r>
        <w:t xml:space="preserve"> </w:t>
      </w:r>
      <w:r>
        <w:t xml:space="preserve">que nous développerons en suivant six axes de recherches :</w:t>
      </w:r>
    </w:p>
    <w:p>
      <w:pPr>
        <w:numPr>
          <w:ilvl w:val="0"/>
          <w:numId w:val="1004"/>
        </w:numPr>
        <w:pStyle w:val="Compact"/>
      </w:pPr>
      <w:r>
        <w:t xml:space="preserve">comprendre l’internet des objets</w:t>
      </w:r>
      <w:r>
        <w:t xml:space="preserve"> </w:t>
      </w:r>
      <w:hyperlink w:anchor="sec-axeIOT">
        <w:r>
          <w:rPr>
            <w:rStyle w:val="Hyperlink"/>
          </w:rPr>
          <w:t xml:space="preserve">Section 3.5</w:t>
        </w:r>
      </w:hyperlink>
      <w:r>
        <w:t xml:space="preserve">,</w:t>
      </w:r>
    </w:p>
    <w:p>
      <w:pPr>
        <w:numPr>
          <w:ilvl w:val="0"/>
          <w:numId w:val="1004"/>
        </w:numPr>
        <w:pStyle w:val="Compact"/>
      </w:pPr>
      <w:r>
        <w:t xml:space="preserve">concevoir une générativité générique</w:t>
      </w:r>
      <w:r>
        <w:t xml:space="preserve"> </w:t>
      </w:r>
      <w:hyperlink w:anchor="sec-axeGeneratif">
        <w:r>
          <w:rPr>
            <w:rStyle w:val="Hyperlink"/>
          </w:rPr>
          <w:t xml:space="preserve">Section 3.6</w:t>
        </w:r>
      </w:hyperlink>
      <w:r>
        <w:t xml:space="preserve">,</w:t>
      </w:r>
    </w:p>
    <w:p>
      <w:pPr>
        <w:numPr>
          <w:ilvl w:val="0"/>
          <w:numId w:val="1004"/>
        </w:numPr>
        <w:pStyle w:val="Compact"/>
      </w:pPr>
      <w:r>
        <w:t xml:space="preserve">formaliser le consensus par une éthique de la discussion</w:t>
      </w:r>
      <w:r>
        <w:t xml:space="preserve"> </w:t>
      </w:r>
      <w:hyperlink w:anchor="sec-axeFormaConsensus">
        <w:r>
          <w:rPr>
            <w:rStyle w:val="Hyperlink"/>
          </w:rPr>
          <w:t xml:space="preserve">Section 3.10</w:t>
        </w:r>
      </w:hyperlink>
      <w:r>
        <w:t xml:space="preserve">,</w:t>
      </w:r>
    </w:p>
    <w:p>
      <w:pPr>
        <w:numPr>
          <w:ilvl w:val="0"/>
          <w:numId w:val="1004"/>
        </w:numPr>
        <w:pStyle w:val="Compact"/>
      </w:pPr>
      <w:r>
        <w:t xml:space="preserve">designer les connaissances</w:t>
      </w:r>
      <w:r>
        <w:t xml:space="preserve"> </w:t>
      </w:r>
      <w:hyperlink w:anchor="sec-axeDesignConnaissances">
        <w:r>
          <w:rPr>
            <w:rStyle w:val="Hyperlink"/>
          </w:rPr>
          <w:t xml:space="preserve">Section 3.8</w:t>
        </w:r>
      </w:hyperlink>
      <w:r>
        <w:t xml:space="preserve">,</w:t>
      </w:r>
    </w:p>
    <w:p>
      <w:pPr>
        <w:numPr>
          <w:ilvl w:val="0"/>
          <w:numId w:val="1004"/>
        </w:numPr>
        <w:pStyle w:val="Compact"/>
      </w:pPr>
      <w:r>
        <w:t xml:space="preserve">développer l’intelligence collective</w:t>
      </w:r>
      <w:r>
        <w:t xml:space="preserve"> </w:t>
      </w:r>
      <w:hyperlink w:anchor="sec-axeIntelCo">
        <w:r>
          <w:rPr>
            <w:rStyle w:val="Hyperlink"/>
          </w:rPr>
          <w:t xml:space="preserve">Section 3.9</w:t>
        </w:r>
      </w:hyperlink>
      <w:r>
        <w:t xml:space="preserve">.</w:t>
      </w:r>
    </w:p>
    <w:p>
      <w:pPr>
        <w:pStyle w:val="FirstParagraph"/>
      </w:pPr>
      <w:r>
        <w:t xml:space="preserve">Enfin nous concluerons ce volume par une synthèse de nos propos et la présentation des références utilisées et des annexes…</w:t>
      </w:r>
    </w:p>
    <w:bookmarkEnd w:id="38"/>
    <w:bookmarkEnd w:id="39"/>
    <w:bookmarkStart w:id="226" w:name="sec-positionnements"/>
    <w:p>
      <w:pPr>
        <w:pStyle w:val="Heading1"/>
      </w:pPr>
      <w:r>
        <w:t xml:space="preserve">1. Positionnements</w:t>
      </w:r>
    </w:p>
    <w:bookmarkStart w:id="40"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40"/>
    <w:bookmarkStart w:id="41"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41"/>
    <w:p>
      <w:pPr>
        <w:pStyle w:val="BodyText"/>
      </w:pPr>
      <w:r>
        <w:t xml:space="preserve">Où suis-je ?  Quels sont les textes fondateurs, les cadres épistémologiques, les influences et leurs ramifications qui constituent aujourd’hui mon milieu de connaissances et dans lesquels évoluent ma pensée ?</w:t>
      </w:r>
    </w:p>
    <w:p>
      <w:pPr>
        <w:pStyle w:val="BodyText"/>
      </w:pPr>
      <w:r>
        <w:t xml:space="preserve">Pour répondre à ces questions nous explorerons les auteurs qui m’ont influencés, les paysages scientifiques que j’ai parcourus et qui m’ont amené à découvrir et cultiver mon écosystème de connaissances. Ce chapitre présente mon point de vue sur cet écosystème, c’est à-dire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cette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les processus de veille que nous avons mis en place pour cultiver notre écosystème de connaissances. A partir des résultats de cette veille,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2</w:t>
        </w:r>
      </w:hyperlink>
      <w:r>
        <w:t xml:space="preserve">.</w:t>
      </w:r>
    </w:p>
    <w:bookmarkStart w:id="63" w:name="sec-parcoursinitiaux"/>
    <w:p>
      <w:pPr>
        <w:pStyle w:val="Heading2"/>
      </w:pPr>
      <w:r>
        <w:t xml:space="preserve">1.1 Parcours initiaux</w:t>
      </w:r>
    </w:p>
    <w:p>
      <w:pPr>
        <w:pStyle w:val="FirstParagraph"/>
      </w:pPr>
      <w:r>
        <w:rPr>
          <w:rStyle w:val="FootnoteReference"/>
        </w:rPr>
        <w:footnoteReference w:id="42"/>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43">
        <w:r>
          <w:rPr>
            <w:rStyle w:val="Hyperlink"/>
          </w:rPr>
          <w:t xml:space="preserve">maîtrise d’histoire de l’art sur la gravure au XVIIIe siècle</w:t>
        </w:r>
      </w:hyperlink>
      <w:r>
        <w:t xml:space="preserve"> </w:t>
      </w:r>
      <w:r>
        <w:t xml:space="preserve">j’ai analysé à travers une exploration des catalogues de ventes, comment un des premiers réseau de diffusion à grande échelle des images contribuait à l’histoire du goût. Ce premier travail de recherche m’a sensibilisé à l’importance des bases de données documentaires pour les recherches et ou outils nécessaires pour les exploiter efficacement. Sans le savoir à l’époque, je commençais mon exploration des humanités numériques que je continuais dans mon travail de</w:t>
      </w:r>
      <w:r>
        <w:t xml:space="preserve"> </w:t>
      </w:r>
      <w:hyperlink r:id="rId44">
        <w:r>
          <w:rPr>
            <w:rStyle w:val="Hyperlink"/>
          </w:rPr>
          <w:t xml:space="preserve">DEA</w:t>
        </w:r>
      </w:hyperlink>
      <w:r>
        <w:t xml:space="preserve"> </w:t>
      </w:r>
      <w:r>
        <w:t xml:space="preserve">sur l’influence de John Cage en menant une première expérimentation sur la cartographie des affinités</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45">
        <w:r>
          <w:rPr>
            <w:rStyle w:val="Hyperlink"/>
          </w:rPr>
          <w:t xml:space="preserve">Michel Serres</w:t>
        </w:r>
      </w:hyperlink>
      <w:r>
        <w:t xml:space="preserve">,</w:t>
      </w:r>
      <w:r>
        <w:t xml:space="preserve"> </w:t>
      </w:r>
      <w:hyperlink r:id="rId46">
        <w:r>
          <w:rPr>
            <w:rStyle w:val="Hyperlink"/>
          </w:rPr>
          <w:t xml:space="preserve">Regis Debray</w:t>
        </w:r>
      </w:hyperlink>
      <w:r>
        <w:t xml:space="preserve">,</w:t>
      </w:r>
      <w:r>
        <w:t xml:space="preserve"> </w:t>
      </w:r>
      <w:hyperlink r:id="rId47">
        <w:r>
          <w:rPr>
            <w:rStyle w:val="Hyperlink"/>
          </w:rPr>
          <w:t xml:space="preserve">Michel Pastoureau</w:t>
        </w:r>
      </w:hyperlink>
      <w:r>
        <w:t xml:space="preserve">,</w:t>
      </w:r>
      <w:r>
        <w:t xml:space="preserve"> </w:t>
      </w:r>
      <w:hyperlink r:id="rId48">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49"/>
      </w:r>
      <w:r>
        <w:t xml:space="preserve"> </w:t>
      </w:r>
      <w:r>
        <w:t xml:space="preserve">et que je découvre comment le chaos informatique est utile aux sciences humaines en ayant l’intuition d’une machine à stimuler les connaissances par une mise en situation synesthésique…</w:t>
      </w:r>
    </w:p>
    <w:tbl>
      <w:tblPr>
        <w:tblStyle w:val="Table"/>
        <w:tblW w:type="pct" w:w="5000"/>
        <w:tblLook w:firstRow="0" w:lastRow="0" w:firstColumn="0" w:lastColumn="0" w:noHBand="0" w:noVBand="0" w:val="0000"/>
        <w:jc w:val="start"/>
        <w:tblLayout w:type="fixed"/>
      </w:tblPr>
      <w:tblGrid>
        <w:gridCol w:w="7920"/>
      </w:tblGrid>
      <w:tr>
        <w:tc>
          <w:tcPr/>
          <w:bookmarkStart w:id="53" w:name="fig-appliHypercard"/>
          <w:p>
            <w:pPr>
              <w:pStyle w:val="Compact"/>
              <w:jc w:val="center"/>
            </w:pPr>
            <w:r>
              <w:drawing>
                <wp:inline>
                  <wp:extent cx="3724655" cy="2798064"/>
                  <wp:effectExtent b="0" l="0" r="0" t="0"/>
                  <wp:docPr descr="" title="" id="51" name="Picture"/>
                  <a:graphic>
                    <a:graphicData uri="http://schemas.openxmlformats.org/drawingml/2006/picture">
                      <pic:pic>
                        <pic:nvPicPr>
                          <pic:cNvPr descr="media/1000000100000263000001CB6B57709BAD5234C1.png" id="52" name="Picture"/>
                          <pic:cNvPicPr>
                            <a:picLocks noChangeArrowheads="1" noChangeAspect="1"/>
                          </pic:cNvPicPr>
                        </pic:nvPicPr>
                        <pic:blipFill>
                          <a:blip r:embed="rId50"/>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Application Hypercard pour la génération automatique de textes philosophiques</w:t>
            </w:r>
          </w:p>
          <w:bookmarkEnd w:id="53"/>
        </w:tc>
      </w:tr>
    </w:tbl>
    <w:p>
      <w:pPr>
        <w:pStyle w:val="BodyText"/>
      </w:pPr>
      <w:r>
        <w:t xml:space="preserve">Curieux d’explorer plus précisément cette intuition, je me lance dans une thèse grâce à ma rencontre avec</w:t>
      </w:r>
      <w:r>
        <w:t xml:space="preserve"> </w:t>
      </w:r>
      <w:hyperlink r:id="rId54">
        <w:r>
          <w:rPr>
            <w:rStyle w:val="Hyperlink"/>
          </w:rPr>
          <w:t xml:space="preserve">Jean-Pierre Balpe</w:t>
        </w:r>
      </w:hyperlink>
      <w:r>
        <w:t xml:space="preserve"> </w:t>
      </w:r>
      <w:r>
        <w:t xml:space="preserve">et</w:t>
      </w:r>
      <w:r>
        <w:t xml:space="preserve"> </w:t>
      </w:r>
      <w:hyperlink r:id="rId55">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parts en voyage et mène mes recherches de manière solitaire jusqu’à ce que dix ans plus tard je retrouve Jean-Pierre et Imad. Fort de nouvelles expériences comme consultant spécialiste en système d’information et en développement Web (cf. </w:t>
      </w:r>
      <w:hyperlink r:id="rId56">
        <w:r>
          <w:rPr>
            <w:rStyle w:val="Hyperlink"/>
          </w:rPr>
          <w:t xml:space="preserve">Carrière privée</w:t>
        </w:r>
      </w:hyperlink>
      <w:r>
        <w:t xml:space="preserve">), je reviens à l’université pour cette fois participer activement à la vie du</w:t>
      </w:r>
      <w:r>
        <w:t xml:space="preserve"> </w:t>
      </w:r>
      <w:hyperlink r:id="rId57">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55">
        <w:r>
          <w:rPr>
            <w:rStyle w:val="Hyperlink"/>
          </w:rPr>
          <w:t xml:space="preserve">Imad Saleh</w:t>
        </w:r>
      </w:hyperlink>
      <w:r>
        <w:t xml:space="preserve"> </w:t>
      </w:r>
      <w:r>
        <w:t xml:space="preserve">et de m’inscrire pleinement dans une</w:t>
      </w:r>
      <w:r>
        <w:t xml:space="preserve"> </w:t>
      </w:r>
      <w:hyperlink r:id="rId58">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2.6</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 de gouvernance de la recherche que de possibilité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donnent à la recherche un goût à la fois subtile, surprenant et aventureux. Une première vision de ces relations est visible dans le diagramme ci-dessous qui montre l’évolution de mes productions scientifiques déposé dans HAL suivant deux catégories : celle des mots clefs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62" w:name="fig-steamHalSamszo"/>
          <w:p>
            <w:pPr>
              <w:pStyle w:val="Compact"/>
              <w:jc w:val="center"/>
            </w:pPr>
            <w:r>
              <w:drawing>
                <wp:inline>
                  <wp:extent cx="5334000" cy="2063795"/>
                  <wp:effectExtent b="0" l="0" r="0" t="0"/>
                  <wp:docPr descr="" title="" id="60" name="Picture"/>
                  <a:graphic>
                    <a:graphicData uri="http://schemas.openxmlformats.org/drawingml/2006/picture">
                      <pic:pic>
                        <pic:nvPicPr>
                          <pic:cNvPr descr="images/steamHALsamszo.png" id="61" name="Picture"/>
                          <pic:cNvPicPr>
                            <a:picLocks noChangeArrowheads="1" noChangeAspect="1"/>
                          </pic:cNvPicPr>
                        </pic:nvPicPr>
                        <pic:blipFill>
                          <a:blip r:embed="rId59"/>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Evolution des productions</w:t>
            </w:r>
          </w:p>
          <w:bookmarkEnd w:id="62"/>
        </w:tc>
      </w:tr>
    </w:tbl>
    <w:p>
      <w:pPr>
        <w:pStyle w:val="BodyText"/>
      </w:pPr>
      <w:r>
        <w:t xml:space="preserve">On le voit, l’essentiel des productions se font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d’appronfondir cette exploration en explicitant mon parcours à travers quelques exemple de publications puis en analysant ce paysage à partir de ma veille informationnelle.</w:t>
      </w:r>
    </w:p>
    <w:bookmarkEnd w:id="63"/>
    <w:bookmarkStart w:id="141" w:name="sec-posiSIC"/>
    <w:p>
      <w:pPr>
        <w:pStyle w:val="Heading2"/>
      </w:pPr>
      <w:r>
        <w:t xml:space="preserve">1.2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coté nous avons dans la continuation de Shannon, Weaver et des technologies de l’information, une recherche sur les moyens de modéliser l’information pour fournir la matière nécessaire au développement de technologies stables. De l’autre coté,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A partir de cette thèse, des ouvrages et des articles qui ont suivis, j’ai élaboré une méthode générique pour la modélisation onto-éthique des écosystèmes de connaissances. Cette méthode s’articule autour d’un diagramme représentant quatre dimensions existentiels : matérielles</w:t>
      </w:r>
      <w:r>
        <w:t xml:space="preserve"> </w:t>
      </w:r>
      <w:hyperlink w:anchor="sec-espaceMateriels">
        <w:r>
          <w:rPr>
            <w:rStyle w:val="Hyperlink"/>
          </w:rPr>
          <w:t xml:space="preserve">Section 2.3</w:t>
        </w:r>
      </w:hyperlink>
      <w:r>
        <w:t xml:space="preserve">, sociales</w:t>
      </w:r>
      <w:r>
        <w:t xml:space="preserve"> </w:t>
      </w:r>
      <w:hyperlink w:anchor="sec-espaceActant">
        <w:r>
          <w:rPr>
            <w:rStyle w:val="Hyperlink"/>
          </w:rPr>
          <w:t xml:space="preserve">Section 2.5</w:t>
        </w:r>
      </w:hyperlink>
      <w:r>
        <w:t xml:space="preserve">, conceptuelles</w:t>
      </w:r>
      <w:r>
        <w:t xml:space="preserve"> </w:t>
      </w:r>
      <w:hyperlink w:anchor="sec-espaceConceptuels">
        <w:r>
          <w:rPr>
            <w:rStyle w:val="Hyperlink"/>
          </w:rPr>
          <w:t xml:space="preserve">Section 2.4</w:t>
        </w:r>
      </w:hyperlink>
      <w:r>
        <w:t xml:space="preserve"> </w:t>
      </w:r>
      <w:r>
        <w:t xml:space="preserve">et rapports</w:t>
      </w:r>
      <w:r>
        <w:t xml:space="preserve"> </w:t>
      </w:r>
      <w:hyperlink w:anchor="sec-rapportsInstExis">
        <w:r>
          <w:rPr>
            <w:rStyle w:val="Hyperlink"/>
          </w:rPr>
          <w:t xml:space="preserve">Section 2.6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05"/>
        </w:numPr>
      </w:pPr>
      <w:r>
        <w:t xml:space="preserve">comprendre les principes de complexité,</w:t>
      </w:r>
    </w:p>
    <w:p>
      <w:pPr>
        <w:numPr>
          <w:ilvl w:val="0"/>
          <w:numId w:val="1005"/>
        </w:numPr>
      </w:pPr>
      <w:r>
        <w:t xml:space="preserve">abandonner la démarche d’exhaustivité au profit des choix nécessaires à la problématisation,</w:t>
      </w:r>
    </w:p>
    <w:p>
      <w:pPr>
        <w:numPr>
          <w:ilvl w:val="0"/>
          <w:numId w:val="1005"/>
        </w:numPr>
      </w:pPr>
      <w:r>
        <w:t xml:space="preserve">dépasser la difficulté de choisir le statut de l’information,</w:t>
      </w:r>
    </w:p>
    <w:p>
      <w:pPr>
        <w:numPr>
          <w:ilvl w:val="0"/>
          <w:numId w:val="1005"/>
        </w:numPr>
      </w:pPr>
      <w:r>
        <w:t xml:space="preserve">respecter des contraintes formelles par soucis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w:t>
      </w:r>
      <w:r>
        <w:t xml:space="preserve"> </w:t>
      </w:r>
      <w:r>
        <w:rPr>
          <w:bCs/>
          <w:b/>
        </w:rPr>
        <w:t xml:space="preserve">?@sec-part-technoIntello</w:t>
      </w:r>
      <w:r>
        <w:t xml:space="preserve">.</w:t>
      </w:r>
    </w:p>
    <w:p>
      <w:pPr>
        <w:pStyle w:val="BodyText"/>
      </w:pPr>
      <w:r>
        <w:t xml:space="preserve">De ces expérimentations un programme de recherche se dégage qui vise plusieurs objectifs. Premièrement diffuser le modèle onto-éthique en publiant des recueil de diagrammes composés dans les cours et les projets de recherche. Parallèlement, les applications développées pour la modélisation seront documentées et le code mis à disposition de la communauté des chercheurs et des développeurs. Le modèle sera aussi diffusé dans un séminaire de recherche sur la modélisation des connaissances en sciences humaines, ouvert aux chercheurs réalisant un corpus numériques et désirant employer des méthodes d’Humanités Numériques innovantes. L’objectif est d’accompagner les chercheurs pour modéliser des recherches en humanités numériques en diffusant des bonnes pratiques et des outils efficaces. Deuxièmement, développer des outils intellectuels pour cartographier les connaissances en concevant des interfaces simples et modulaires pour :</w:t>
      </w:r>
    </w:p>
    <w:p>
      <w:pPr>
        <w:numPr>
          <w:ilvl w:val="0"/>
          <w:numId w:val="1006"/>
        </w:numPr>
      </w:pPr>
      <w:r>
        <w:t xml:space="preserve">calculer la complexité de points de vue,</w:t>
      </w:r>
    </w:p>
    <w:p>
      <w:pPr>
        <w:numPr>
          <w:ilvl w:val="0"/>
          <w:numId w:val="1006"/>
        </w:numPr>
      </w:pPr>
      <w:r>
        <w:t xml:space="preserve">cartographier le flux d’information et de communication,</w:t>
      </w:r>
    </w:p>
    <w:p>
      <w:pPr>
        <w:numPr>
          <w:ilvl w:val="0"/>
          <w:numId w:val="1006"/>
        </w:numPr>
      </w:pPr>
      <w:r>
        <w:t xml:space="preserve">modéliser graphiquement une existence informationnelle dans un écosystème de connaissances,</w:t>
      </w:r>
    </w:p>
    <w:p>
      <w:pPr>
        <w:numPr>
          <w:ilvl w:val="0"/>
          <w:numId w:val="1006"/>
        </w:numPr>
      </w:pPr>
      <w:r>
        <w:t xml:space="preserve">stimuler des explorations cognitives en générant des frayages intellectuels,</w:t>
      </w:r>
    </w:p>
    <w:p>
      <w:pPr>
        <w:numPr>
          <w:ilvl w:val="0"/>
          <w:numId w:val="1006"/>
        </w:numPr>
      </w:pPr>
      <w:r>
        <w:t xml:space="preserve">recommander des conversations créatrices.</w:t>
      </w:r>
    </w:p>
    <w:p>
      <w:pPr>
        <w:pStyle w:val="FirstParagraph"/>
      </w:pPr>
      <w:r>
        <w:t xml:space="preserve">Pour illustrer cette démarche nous présentons ci-dessous un résumé des publications et des projets qui nous semble les plus représentatifs de notre parcours.</w:t>
      </w:r>
    </w:p>
    <w:bookmarkStart w:id="64" w:name="Xb28e9aaf64318e08c8446553bf0dbd4f197feb0"/>
    <w:p>
      <w:pPr>
        <w:pStyle w:val="Heading3"/>
      </w:pPr>
      <w:r>
        <w:t xml:space="preserve">1.2.1 Écosystème de connaissances, méthode de modélisation et d’analyse de l’information et de la communication</w:t>
      </w:r>
    </w:p>
    <w:p>
      <w:pPr>
        <w:pStyle w:val="FirstParagraph"/>
      </w:pPr>
      <w:r>
        <w:t xml:space="preserve">A destination des étudiants de Master, cet ouvrage</w:t>
      </w:r>
      <w:r>
        <w:t xml:space="preserve">(Szoniecky, 2017)</w:t>
      </w:r>
      <w:r>
        <w:t xml:space="preserve"> </w:t>
      </w:r>
      <w:r>
        <w:t xml:space="preserve">présente les principes de base de la méthode que j’ai conçu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 d’usages de la méthode.</w:t>
      </w:r>
    </w:p>
    <w:bookmarkEnd w:id="64"/>
    <w:bookmarkStart w:id="65" w:name="X0a9324b41fae6470ae20908cb045354f3f03982"/>
    <w:p>
      <w:pPr>
        <w:pStyle w:val="Heading3"/>
      </w:pPr>
      <w:r>
        <w:t xml:space="preserve">1.2.2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 Archives Nationales. L’article montre comment décrire un processus de numérisation en terme de métamorphose et d’hybridation d’un écosystème de connaissance. Il présente des outils pour un « culture intensif » de l’information et un prototype développé dans le cadre de ce projet pour « le jardinage collectif des connaissances ».</w:t>
      </w:r>
    </w:p>
    <w:bookmarkEnd w:id="65"/>
    <w:bookmarkStart w:id="66" w:name="X6411bf47265819674b9ca977484e65fc818aa2e"/>
    <w:p>
      <w:pPr>
        <w:pStyle w:val="Heading3"/>
      </w:pPr>
      <w:r>
        <w:t xml:space="preserve">1.2.3 Espace liminaire de l’authenticité: Une démarche d’humanités numériques</w:t>
      </w:r>
    </w:p>
    <w:p>
      <w:pPr>
        <w:pStyle w:val="FirstParagraph"/>
      </w:pPr>
      <w:r>
        <w:t xml:space="preserve">L’activité automatisée de production de faux, tels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Larrue, Godin, &amp; Szoniecky, 2019)</w:t>
      </w:r>
      <w:r>
        <w:t xml:space="preserve"> </w:t>
      </w:r>
      <w:r>
        <w:t xml:space="preserve">traite de la transformation de l’espace de médiation et cherche à comprendre la redéfinition actuelle et futures des notions d’authenticité et d’autorité liées à l’accord de la légitimité. Il porte aussi sur le dialogue performatif des données et des actions collectives d’utilisateurs.</w:t>
      </w:r>
    </w:p>
    <w:bookmarkEnd w:id="66"/>
    <w:bookmarkStart w:id="67" w:name="Xab7c531348e72004c3538a68f1f33773b498bb8"/>
    <w:p>
      <w:pPr>
        <w:pStyle w:val="Heading3"/>
      </w:pPr>
      <w:r>
        <w:t xml:space="preserve">1.2.4 Knowledge Design in the Internet of Things : Blockchain and Connected Refrigerator</w:t>
      </w:r>
    </w:p>
    <w:p>
      <w:pPr>
        <w:pStyle w:val="FirstParagraph"/>
      </w:pPr>
      <w:r>
        <w:t xml:space="preserve">L’Internet des objets fait partie de notre vie quotidienne, mais de nombreux utilisateurs ne comprennent pas les relations de ces objets avec les réseaux numériques, ni les données qui transitent à partir des usages qu’ils en font. Dans cet article</w:t>
      </w:r>
      <w:r>
        <w:t xml:space="preserve"> </w:t>
      </w:r>
      <w:r>
        <w:t xml:space="preserve">(Szoniecky &amp; Toumia, 2019)</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67"/>
    <w:bookmarkStart w:id="68" w:name="X3c5cf1856f9f909e6ac2f29b88e9d5e9a53daad"/>
    <w:p>
      <w:pPr>
        <w:pStyle w:val="Heading3"/>
      </w:pPr>
      <w:r>
        <w:t xml:space="preserve">1.2.5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&amp; Klinkenberg (2015a)</w:t>
      </w:r>
      <w:r>
        <w:t xml:space="preserve">;</w:t>
      </w:r>
      <w:r>
        <w:t xml:space="preserve"> </w:t>
      </w:r>
      <w:r>
        <w:t xml:space="preserve">Citton (2008a)</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68"/>
    <w:bookmarkStart w:id="79" w:name="sec-projetLitteBot"/>
    <w:p>
      <w:pPr>
        <w:pStyle w:val="Heading3"/>
      </w:pPr>
      <w:r>
        <w:t xml:space="preserve">1.2.6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400ème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A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69">
        <w:r>
          <w:rPr>
            <w:rStyle w:val="Hyperlink"/>
          </w:rPr>
          <w:t xml:space="preserve">https://obvil.sorbonne-universite.fr/corpus/moliere/moliere</w:t>
        </w:r>
      </w:hyperlink>
      <w:r>
        <w:t xml:space="preserve">) permet d’envisager de multiple réutilisation de ces textes pour des usages innovants. Par exemple, l’Obvil analyse les relations entre les personnages d’une pièce de théâtre pour visualiser l’importance de leurs relations :</w:t>
      </w:r>
    </w:p>
    <w:p>
      <w:pPr>
        <w:pStyle w:val="CaptionedFigure"/>
      </w:pPr>
      <w:r>
        <w:drawing>
          <wp:inline>
            <wp:extent cx="5334000" cy="6194068"/>
            <wp:effectExtent b="0" l="0" r="0" t="0"/>
            <wp:docPr descr="Obvil : représentation des relations entre personnages" title="" id="71" name="Picture"/>
            <a:graphic>
              <a:graphicData uri="http://schemas.openxmlformats.org/drawingml/2006/picture">
                <pic:pic>
                  <pic:nvPicPr>
                    <pic:cNvPr descr="images/obvil_corpus_moliere_moliere_dom-juan-1682.png" id="72" name="Picture"/>
                    <pic:cNvPicPr>
                      <a:picLocks noChangeArrowheads="1" noChangeAspect="1"/>
                    </pic:cNvPicPr>
                  </pic:nvPicPr>
                  <pic:blipFill>
                    <a:blip r:embed="rId70"/>
                    <a:stretch>
                      <a:fillRect/>
                    </a:stretch>
                  </pic:blipFill>
                  <pic:spPr bwMode="auto">
                    <a:xfrm>
                      <a:off x="0" y="0"/>
                      <a:ext cx="5334000" cy="6194068"/>
                    </a:xfrm>
                    <a:prstGeom prst="rect">
                      <a:avLst/>
                    </a:prstGeom>
                    <a:noFill/>
                    <a:ln w="9525">
                      <a:noFill/>
                      <a:headEnd/>
                      <a:tailEnd/>
                    </a:ln>
                  </pic:spPr>
                </pic:pic>
              </a:graphicData>
            </a:graphic>
          </wp:inline>
        </w:drawing>
      </w:r>
    </w:p>
    <w:p>
      <w:pPr>
        <w:pStyle w:val="ImageCaption"/>
      </w:pPr>
      <w:r>
        <w:t xml:space="preserve">Obvil : représentation des relations entre personnages</w:t>
      </w:r>
    </w:p>
    <w:p>
      <w:pPr>
        <w:pStyle w:val="BodyText"/>
      </w:pPr>
      <w:r>
        <w:t xml:space="preserve">Pour ce projet nous avons analysé la structure du corpus (pièces de théâtre, actes, scènes, répliques, phrases, mots-clés) pour créer des éléments dans une base de données Omeka S correspondant à chacune de ces structures et à leurs relations. Pour ce faire nous avons développé un module générique</w:t>
      </w:r>
      <w:r>
        <w:t xml:space="preserve"> </w:t>
      </w:r>
      <w:r>
        <w:rPr>
          <w:rStyle w:val="FootnoteReference"/>
        </w:rPr>
        <w:footnoteReference w:id="73"/>
      </w:r>
      <w:r>
        <w:t xml:space="preserve"> </w:t>
      </w:r>
      <w:r>
        <w:t xml:space="preserve">d’importation des pages HTML qui à partir d’un fichier de configuration</w:t>
      </w:r>
      <w:r>
        <w:rPr>
          <w:rStyle w:val="FootnoteReference"/>
        </w:rPr>
        <w:footnoteReference w:id="75"/>
      </w:r>
      <w:r>
        <w:t xml:space="preserve"> </w:t>
      </w:r>
      <w:r>
        <w:t xml:space="preserve">sélectionne les éléments de la page et les enregistre dans la base Omeka S en détaillant leurs relations. Nous avons importer toutes</w:t>
      </w:r>
      <w:r>
        <w:t xml:space="preserve"> </w:t>
      </w:r>
      <w:r>
        <w:rPr>
          <w:rStyle w:val="FootnoteReference"/>
        </w:rPr>
        <w:footnoteReference w:id="77"/>
      </w:r>
      <w:r>
        <w:t xml:space="preserve"> </w:t>
      </w:r>
      <w:r>
        <w:t xml:space="preserve">pour obtenir une base de plus de 100 000 items. Ce travail d’hypertrextualisation permet d’explorer la base de données et d’enrichir les éléments qui la compose et dont voici la représentation :</w:t>
      </w:r>
    </w:p>
    <w:p>
      <w:pPr>
        <w:pStyle w:val="BodyText"/>
      </w:pPr>
      <w:r>
        <w:t xml:space="preserve">Nous souhaitions travailler précisément les répliques du théâtre de Molière afin de les rendre génératives en suivant le modèle des générateurs de Jean Pierre Balpe</w:t>
      </w:r>
      <w:r>
        <w:t xml:space="preserve"> </w:t>
      </w:r>
      <w:hyperlink w:anchor="sec-ateliersGenerateur">
        <w:r>
          <w:rPr>
            <w:rStyle w:val="Hyperlink"/>
          </w:rPr>
          <w:t xml:space="preserve">Section 4.3.4</w:t>
        </w:r>
      </w:hyperlink>
      <w:r>
        <w:t xml:space="preserve">. et ainsi disposé d’un générateur automatique de répliques de Molière pouvant servir à l’entrainement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 les indexations manuelles par micro-tâches faites pour rendre ChatGPT opérationnel ou le chatbot Chomsky VS Comsky</w:t>
      </w:r>
    </w:p>
    <w:bookmarkEnd w:id="79"/>
    <w:bookmarkStart w:id="136" w:name="projet-polemikapositionnements-6"/>
    <w:p>
      <w:pPr>
        <w:pStyle w:val="Heading3"/>
      </w:pPr>
      <w:r>
        <w:t xml:space="preserve">1.2.7 Projet Polemika</w:t>
      </w:r>
      <w:r>
        <w:rPr>
          <w:rStyle w:val="FootnoteReference"/>
        </w:rPr>
        <w:footnoteReference w:id="80"/>
      </w:r>
    </w:p>
    <w:p>
      <w:pPr>
        <w:pStyle w:val="BodyText"/>
      </w:pPr>
      <w:r>
        <w:t xml:space="preserve">Polemika a été financé par les Trophées franciliens de l’innovation numérique dans le supérieur (Trophées EdTech) et l’EUR ARTeC (Ecole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convaincantes.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135" w:name="prototypes-réalisé-pour-polemika"/>
    <w:p>
      <w:pPr>
        <w:pStyle w:val="Heading4"/>
      </w:pPr>
      <w:r>
        <w:t xml:space="preserve">1.2.7.1 Prototypes réalisé pour Polemika</w:t>
      </w:r>
    </w:p>
    <w:p>
      <w:pPr>
        <w:pStyle w:val="FirstParagraph"/>
      </w:pPr>
      <w:r>
        <w:t xml:space="preserve">Dans le cadre de ce projet nous avons conçu et développé plusieurs prototypes afin d’expérimenter nos hypothèses. Le diagramme ci-dessous montre l’écosystème de connaissances que nous avons conçu pour le développement des prototypes.</w:t>
      </w:r>
    </w:p>
    <w:tbl>
      <w:tblPr>
        <w:tblStyle w:val="Table"/>
        <w:tblW w:type="pct" w:w="5000"/>
        <w:tblLook w:firstRow="0" w:lastRow="0" w:firstColumn="0" w:lastColumn="0" w:noHBand="0" w:noVBand="0" w:val="0000"/>
        <w:jc w:val="start"/>
        <w:tblLayout w:type="fixed"/>
      </w:tblPr>
      <w:tblGrid>
        <w:gridCol w:w="7920"/>
      </w:tblGrid>
      <w:tr>
        <w:tc>
          <w:tcPr/>
          <w:bookmarkStart w:id="84" w:name="fig-iceGenerateurPolemika"/>
          <w:p>
            <w:pPr>
              <w:pStyle w:val="Compact"/>
              <w:jc w:val="center"/>
            </w:pPr>
            <w:r>
              <w:drawing>
                <wp:inline>
                  <wp:extent cx="5009172" cy="2863365"/>
                  <wp:effectExtent b="0" l="0" r="0" t="0"/>
                  <wp:docPr descr="" title="" id="82" name="Picture"/>
                  <a:graphic>
                    <a:graphicData uri="http://schemas.openxmlformats.org/drawingml/2006/picture">
                      <pic:pic>
                        <pic:nvPicPr>
                          <pic:cNvPr descr="images/ice_generateur.png" id="83" name="Picture"/>
                          <pic:cNvPicPr>
                            <a:picLocks noChangeArrowheads="1" noChangeAspect="1"/>
                          </pic:cNvPicPr>
                        </pic:nvPicPr>
                        <pic:blipFill>
                          <a:blip r:embed="rId81"/>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Ecosystème de génération automatique de Fake News</w:t>
            </w:r>
          </w:p>
          <w:bookmarkEnd w:id="84"/>
        </w:tc>
      </w:tr>
    </w:tbl>
    <w:bookmarkStart w:id="103" w:name="générateur-automatique-de-texte"/>
    <w:p>
      <w:pPr>
        <w:pStyle w:val="Heading5"/>
      </w:pPr>
      <w:r>
        <w:t xml:space="preserve">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97" w:name="première-version-genlod"/>
    <w:p>
      <w:pPr>
        <w:pStyle w:val="Heading6"/>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 ici : https://jardindesconnaissances.univ-paris8.fr/genlod/omk/s/donnees-disponibles/item . Le code source est accessible ici : https://github.com/samszo/omeka-s-module-generateur .</w:t>
      </w:r>
    </w:p>
    <w:tbl>
      <w:tblPr>
        <w:tblStyle w:val="Table"/>
        <w:tblW w:type="pct" w:w="5000"/>
        <w:tblLook w:firstRow="0" w:lastRow="0" w:firstColumn="0" w:lastColumn="0" w:noHBand="0" w:noVBand="0" w:val="0000"/>
        <w:jc w:val="start"/>
        <w:tblLayout w:type="fixed"/>
      </w:tblPr>
      <w:tblGrid>
        <w:gridCol w:w="7920"/>
      </w:tblGrid>
      <w:tr>
        <w:tc>
          <w:tcPr/>
          <w:bookmarkStart w:id="88" w:name="fig-GenLOGomk"/>
          <w:p>
            <w:pPr>
              <w:pStyle w:val="Compact"/>
              <w:jc w:val="center"/>
            </w:pPr>
            <w:r>
              <w:drawing>
                <wp:inline>
                  <wp:extent cx="3556679" cy="1226335"/>
                  <wp:effectExtent b="0" l="0" r="0" t="0"/>
                  <wp:docPr descr="" title="" id="86" name="Picture"/>
                  <a:graphic>
                    <a:graphicData uri="http://schemas.openxmlformats.org/drawingml/2006/picture">
                      <pic:pic>
                        <pic:nvPicPr>
                          <pic:cNvPr descr="images/GenLodOmk.png" id="87" name="Picture"/>
                          <pic:cNvPicPr>
                            <a:picLocks noChangeArrowheads="1" noChangeAspect="1"/>
                          </pic:cNvPicPr>
                        </pic:nvPicPr>
                        <pic:blipFill>
                          <a:blip r:embed="rId85"/>
                          <a:stretch>
                            <a:fillRect/>
                          </a:stretch>
                        </pic:blipFill>
                        <pic:spPr bwMode="auto">
                          <a:xfrm>
                            <a:off x="0" y="0"/>
                            <a:ext cx="3556679" cy="1226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Exemple de générateur balpien</w:t>
            </w:r>
          </w:p>
          <w:bookmarkEnd w:id="88"/>
        </w:tc>
      </w:tr>
    </w:tbl>
    <w:p>
      <w:pPr>
        <w:pStyle w:val="BodyText"/>
      </w:pPr>
      <w:r>
        <w:t xml:space="preserve">Outre les générateurs balpiens, GenLOD met à disposition de nouveaux types de générateurs.</w:t>
      </w:r>
    </w:p>
    <w:p>
      <w:pPr>
        <w:numPr>
          <w:ilvl w:val="0"/>
          <w:numId w:val="1007"/>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p>
    <w:tbl>
      <w:tblPr>
        <w:tblStyle w:val="Table"/>
        <w:tblW w:type="pct" w:w="5000"/>
        <w:tblLook w:firstRow="0" w:lastRow="0" w:firstColumn="0" w:lastColumn="0" w:noHBand="0" w:noVBand="0" w:val="0000"/>
        <w:jc w:val="start"/>
        <w:tblLayout w:type="fixed"/>
      </w:tblPr>
      <w:tblGrid>
        <w:gridCol w:w="7920"/>
      </w:tblGrid>
      <w:tr>
        <w:tc>
          <w:tcPr/>
          <w:bookmarkStart w:id="92" w:name="fig-GenLOGomkSparql"/>
          <w:p>
            <w:pPr>
              <w:pStyle w:val="Compact"/>
              <w:jc w:val="center"/>
            </w:pPr>
            <w:r>
              <w:drawing>
                <wp:inline>
                  <wp:extent cx="3556679" cy="1626959"/>
                  <wp:effectExtent b="0" l="0" r="0" t="0"/>
                  <wp:docPr descr="" title="" id="90" name="Picture"/>
                  <a:graphic>
                    <a:graphicData uri="http://schemas.openxmlformats.org/drawingml/2006/picture">
                      <pic:pic>
                        <pic:nvPicPr>
                          <pic:cNvPr descr="images/GenLodOmkSPARQL.png" id="91" name="Picture"/>
                          <pic:cNvPicPr>
                            <a:picLocks noChangeArrowheads="1" noChangeAspect="1"/>
                          </pic:cNvPicPr>
                        </pic:nvPicPr>
                        <pic:blipFill>
                          <a:blip r:embed="rId89"/>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exemple de générateur SPARQL</w:t>
            </w:r>
          </w:p>
          <w:bookmarkEnd w:id="92"/>
        </w:tc>
      </w:tr>
    </w:tbl>
    <w:p>
      <w:pPr>
        <w:numPr>
          <w:ilvl w:val="0"/>
          <w:numId w:val="1008"/>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donnée. https://pierrelevyblog.com/2021/09/20/pour-un-changement-de-paradigme-en-intelligence-artificielle/</w:t>
      </w:r>
    </w:p>
    <w:p>
      <w:pPr>
        <w:numPr>
          <w:ilvl w:val="0"/>
          <w:numId w:val="1009"/>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0"/>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 tout en conservant une cohérence sémantique. https://crisco2.unicaen.fr/des/</w:t>
      </w:r>
    </w:p>
    <w:tbl>
      <w:tblPr>
        <w:tblStyle w:val="Table"/>
        <w:tblW w:type="pct" w:w="5000"/>
        <w:tblLook w:firstRow="0" w:lastRow="0" w:firstColumn="0" w:lastColumn="0" w:noHBand="0" w:noVBand="0" w:val="0000"/>
        <w:jc w:val="start"/>
        <w:tblLayout w:type="fixed"/>
      </w:tblPr>
      <w:tblGrid>
        <w:gridCol w:w="7920"/>
      </w:tblGrid>
      <w:tr>
        <w:tc>
          <w:tcPr/>
          <w:bookmarkStart w:id="96" w:name="fig-GenLOGieml"/>
          <w:p>
            <w:pPr>
              <w:pStyle w:val="Compact"/>
              <w:jc w:val="center"/>
            </w:pPr>
            <w:r>
              <w:drawing>
                <wp:inline>
                  <wp:extent cx="3562795" cy="1804334"/>
                  <wp:effectExtent b="0" l="0" r="0" t="0"/>
                  <wp:docPr descr="" title="" id="94" name="Picture"/>
                  <a:graphic>
                    <a:graphicData uri="http://schemas.openxmlformats.org/drawingml/2006/picture">
                      <pic:pic>
                        <pic:nvPicPr>
                          <pic:cNvPr descr="images/GenLodOmkIEML.png" id="95" name="Picture"/>
                          <pic:cNvPicPr>
                            <a:picLocks noChangeArrowheads="1" noChangeAspect="1"/>
                          </pic:cNvPicPr>
                        </pic:nvPicPr>
                        <pic:blipFill>
                          <a:blip r:embed="rId93"/>
                          <a:stretch>
                            <a:fillRect/>
                          </a:stretch>
                        </pic:blipFill>
                        <pic:spPr bwMode="auto">
                          <a:xfrm>
                            <a:off x="0" y="0"/>
                            <a:ext cx="3562795" cy="1804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Exemple de générateur IEML, Wikidata, Synonyme</w:t>
            </w:r>
          </w:p>
          <w:bookmarkEnd w:id="96"/>
        </w:tc>
      </w:tr>
    </w:tbl>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 du Web sémantique et du LOD.</w:t>
      </w:r>
    </w:p>
    <w:bookmarkEnd w:id="97"/>
    <w:bookmarkStart w:id="102" w:name="Xe5229c34166124eb51ffef14b7c199b99b8cba0"/>
    <w:p>
      <w:pPr>
        <w:pStyle w:val="Heading6"/>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 Il a été développé sous la forme d’un module Omeka S : https://github.com/samszo/Omeka-S-module-JDC</w:t>
      </w:r>
    </w:p>
    <w:tbl>
      <w:tblPr>
        <w:tblStyle w:val="Table"/>
        <w:tblW w:type="pct" w:w="5000"/>
        <w:tblLook w:firstRow="0" w:lastRow="0" w:firstColumn="0" w:lastColumn="0" w:noHBand="0" w:noVBand="0" w:val="0000"/>
        <w:jc w:val="start"/>
        <w:tblLayout w:type="fixed"/>
      </w:tblPr>
      <w:tblGrid>
        <w:gridCol w:w="7920"/>
      </w:tblGrid>
      <w:tr>
        <w:tc>
          <w:tcPr/>
          <w:bookmarkStart w:id="101" w:name="fig-GenJDC"/>
          <w:p>
            <w:pPr>
              <w:pStyle w:val="Compact"/>
              <w:jc w:val="center"/>
            </w:pPr>
            <w:r>
              <w:drawing>
                <wp:inline>
                  <wp:extent cx="3697356" cy="1975593"/>
                  <wp:effectExtent b="0" l="0" r="0" t="0"/>
                  <wp:docPr descr="" title="" id="99" name="Picture"/>
                  <a:graphic>
                    <a:graphicData uri="http://schemas.openxmlformats.org/drawingml/2006/picture">
                      <pic:pic>
                        <pic:nvPicPr>
                          <pic:cNvPr descr="images/GenJDC.png" id="100" name="Picture"/>
                          <pic:cNvPicPr>
                            <a:picLocks noChangeArrowheads="1" noChangeAspect="1"/>
                          </pic:cNvPicPr>
                        </pic:nvPicPr>
                        <pic:blipFill>
                          <a:blip r:embed="rId98"/>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Générateur de fake news sous forme d’écosystème à jardiner</w:t>
            </w:r>
          </w:p>
          <w:bookmarkEnd w:id="101"/>
        </w:tc>
      </w:tr>
    </w:tbl>
    <w:p>
      <w:pPr>
        <w:pStyle w:val="BodyText"/>
      </w:pPr>
      <w:r>
        <w:t xml:space="preserve">Ce générateur toujours à l’état de prototype semble être une voie prometteuse pour rendre accessible à un plus grand public l’utilisation des générateurs.</w:t>
      </w:r>
    </w:p>
    <w:bookmarkEnd w:id="102"/>
    <w:bookmarkEnd w:id="103"/>
    <w:bookmarkStart w:id="114" w:name="interface-de-cartographie-des-arguments"/>
    <w:p>
      <w:pPr>
        <w:pStyle w:val="Heading5"/>
      </w:pPr>
      <w:r>
        <w:t xml:space="preserve">Interface de cartographie des arguments</w:t>
      </w:r>
    </w:p>
    <w:p>
      <w:pPr>
        <w:pStyle w:val="FirstParagraph"/>
      </w:pPr>
      <w:r>
        <w:t xml:space="preserve">Afin de paramètrer le plus finement possible les générateurs à partir de nos hypothèses de recherches, nous avons conçu et développé des outils pour la cartographie des arguments.</w:t>
      </w:r>
    </w:p>
    <w:bookmarkStart w:id="108" w:name="visualisation-cmap-dans-omeka-s"/>
    <w:p>
      <w:pPr>
        <w:pStyle w:val="Heading6"/>
      </w:pPr>
      <w:r>
        <w:t xml:space="preserve">Visualisation CMap dans Omeka S</w:t>
      </w:r>
    </w:p>
    <w:p>
      <w:pPr>
        <w:pStyle w:val="FirstParagraph"/>
      </w:pPr>
      <w:r>
        <w:t xml:space="preserve">Le premier prototype que nous avons réalisé se base sur nos pratiques d’un outils de cartographie conceptuelle : CMAP Tools https://cmap.ihmc.us/ Nous utilisons cette outils pour rapidement construire des cartes conceptuelles et les mettre à disposition des collègues et des étudiants. Toutefois, il ne permettais pas une intégration fine avec les données stockées dans Omeka S. Nous avons donc développé : - un module pour importer les données des cartes sémantique CMAP dans Omeka S afin de travailler plus finement les concepts présents dans la carte notamment en les mettant en relation avec les différents générateurs développés. Le code du module est accessible ici : https://github.com/samszo/Omeka-S-module-CmapImport - une interface de visualisation des cartes à partir des données importées :</w:t>
      </w:r>
    </w:p>
    <w:tbl>
      <w:tblPr>
        <w:tblStyle w:val="Table"/>
        <w:tblW w:type="pct" w:w="5000"/>
        <w:tblLook w:firstRow="0" w:lastRow="0" w:firstColumn="0" w:lastColumn="0" w:noHBand="0" w:noVBand="0" w:val="0000"/>
        <w:jc w:val="start"/>
        <w:tblLayout w:type="fixed"/>
      </w:tblPr>
      <w:tblGrid>
        <w:gridCol w:w="7920"/>
      </w:tblGrid>
      <w:tr>
        <w:tc>
          <w:tcPr/>
          <w:bookmarkStart w:id="107" w:name="fig-polemikaCMAP"/>
          <w:p>
            <w:pPr>
              <w:pStyle w:val="Compact"/>
              <w:jc w:val="center"/>
            </w:pPr>
            <w:r>
              <w:drawing>
                <wp:inline>
                  <wp:extent cx="4893110" cy="2535242"/>
                  <wp:effectExtent b="0" l="0" r="0" t="0"/>
                  <wp:docPr descr="" title="" id="105" name="Picture"/>
                  <a:graphic>
                    <a:graphicData uri="http://schemas.openxmlformats.org/drawingml/2006/picture">
                      <pic:pic>
                        <pic:nvPicPr>
                          <pic:cNvPr descr="images/polemikaCMAP.png" id="106" name="Picture"/>
                          <pic:cNvPicPr>
                            <a:picLocks noChangeArrowheads="1" noChangeAspect="1"/>
                          </pic:cNvPicPr>
                        </pic:nvPicPr>
                        <pic:blipFill>
                          <a:blip r:embed="rId104"/>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Visualisation d’une carte CMAP dans Omeka S</w:t>
            </w:r>
          </w:p>
          <w:bookmarkEnd w:id="107"/>
        </w:tc>
      </w:tr>
    </w:tbl>
    <w:p>
      <w:pPr>
        <w:pStyle w:val="BodyText"/>
      </w:pPr>
      <w:r>
        <w:t xml:space="preserve">Cette première version nous a montré l’importance de ce type d’outils pour la suite du projet nous avons donc décidé de développé une version plus dynamique et intéractive de l’interface de consultation des cartes conceptuelles.</w:t>
      </w:r>
    </w:p>
    <w:bookmarkEnd w:id="108"/>
    <w:bookmarkStart w:id="113" w:name="editeur-de-cartographie-sémantique"/>
    <w:p>
      <w:pPr>
        <w:pStyle w:val="Heading6"/>
      </w:pPr>
      <w:r>
        <w:t xml:space="preserve">Editeur de cartographie sémantique</w:t>
      </w:r>
    </w:p>
    <w:p>
      <w:pPr>
        <w:pStyle w:val="FirstParagraph"/>
      </w:pPr>
      <w:r>
        <w:t xml:space="preserve">Cette éditeur de cartographies conceptuelles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 L’éditeur est composé : - d’un thème Omeka S accessible ici : https://github.com/samszo/Omeka-S-theme-PolemikaProto - d’un module Omeka S de cartographie des affects accessible ici : https://github.com/samszo/Omeka-S-module-CartoAffect - 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112" w:name="fig-polemikaEditor"/>
          <w:p>
            <w:pPr>
              <w:pStyle w:val="Compact"/>
              <w:jc w:val="center"/>
            </w:pPr>
            <w:r>
              <w:drawing>
                <wp:inline>
                  <wp:extent cx="4893110" cy="2899167"/>
                  <wp:effectExtent b="0" l="0" r="0" t="0"/>
                  <wp:docPr descr="" title="" id="110" name="Picture"/>
                  <a:graphic>
                    <a:graphicData uri="http://schemas.openxmlformats.org/drawingml/2006/picture">
                      <pic:pic>
                        <pic:nvPicPr>
                          <pic:cNvPr descr="images/polemikaEditor.png" id="111" name="Picture"/>
                          <pic:cNvPicPr>
                            <a:picLocks noChangeArrowheads="1" noChangeAspect="1"/>
                          </pic:cNvPicPr>
                        </pic:nvPicPr>
                        <pic:blipFill>
                          <a:blip r:embed="rId109"/>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Editeur de cartographie conceptuelle</w:t>
            </w:r>
          </w:p>
          <w:bookmarkEnd w:id="112"/>
        </w:tc>
      </w:tr>
    </w:tbl>
    <w:bookmarkEnd w:id="113"/>
    <w:bookmarkEnd w:id="114"/>
    <w:bookmarkStart w:id="134" w:name="catégorisation-des-informations"/>
    <w:p>
      <w:pPr>
        <w:pStyle w:val="Heading5"/>
      </w:pPr>
      <w:r>
        <w:t xml:space="preserve">Catégorisation des informations</w:t>
      </w:r>
    </w:p>
    <w:p>
      <w:pPr>
        <w:pStyle w:val="FirstParagraph"/>
      </w:pPr>
      <w:r>
        <w:t xml:space="preserve">Parallèlement au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ou pas nos hypothèses ergonomiques.</w:t>
      </w:r>
    </w:p>
    <w:bookmarkStart w:id="119" w:name="catégorisation-par-roue"/>
    <w:p>
      <w:pPr>
        <w:pStyle w:val="Heading6"/>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(Desfriches Doria &amp; Meunier, 2021a)</w:t>
      </w:r>
      <w:r>
        <w:t xml:space="preserve">.</w:t>
      </w:r>
    </w:p>
    <w:p>
      <w:pPr>
        <w:pStyle w:val="BodyText"/>
      </w:pPr>
      <w:r>
        <w:t xml:space="preserve">Le dispositif a été développé sous la forme d’une application Web autonome (https://github.com/samszo/polemika) puis intégré à Omaka S sous la forme d’un thème spécifique : https://github.com/samszo/polemika_omks_theme_polemika</w:t>
      </w:r>
    </w:p>
    <w:p>
      <w:pPr>
        <w:pStyle w:val="BodyText"/>
      </w:pPr>
      <w:r>
        <w:t xml:space="preserve">Le fonctionnement de ce processus de catégorisation est :</w:t>
      </w:r>
    </w:p>
    <w:p>
      <w:pPr>
        <w:numPr>
          <w:ilvl w:val="0"/>
          <w:numId w:val="1011"/>
        </w:numPr>
      </w:pPr>
      <w:r>
        <w:t xml:space="preserve">visible dans cette vidéo : https://polemika.univ-paris8.fr/omk/s/contenus/page/processus-de-categorisation</w:t>
      </w:r>
    </w:p>
    <w:p>
      <w:pPr>
        <w:numPr>
          <w:ilvl w:val="0"/>
          <w:numId w:val="1011"/>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118" w:name="fig-polemikaRoue"/>
          <w:p>
            <w:pPr>
              <w:pStyle w:val="Compact"/>
              <w:jc w:val="center"/>
            </w:pPr>
            <w:r>
              <w:drawing>
                <wp:inline>
                  <wp:extent cx="4893110" cy="3107125"/>
                  <wp:effectExtent b="0" l="0" r="0" t="0"/>
                  <wp:docPr descr="" title="" id="116" name="Picture"/>
                  <a:graphic>
                    <a:graphicData uri="http://schemas.openxmlformats.org/drawingml/2006/picture">
                      <pic:pic>
                        <pic:nvPicPr>
                          <pic:cNvPr descr="images/polemikaRoue.png" id="117" name="Picture"/>
                          <pic:cNvPicPr>
                            <a:picLocks noChangeArrowheads="1" noChangeAspect="1"/>
                          </pic:cNvPicPr>
                        </pic:nvPicPr>
                        <pic:blipFill>
                          <a:blip r:embed="rId115"/>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Catégorisation par roue conceptuelle</w:t>
            </w:r>
          </w:p>
          <w:bookmarkEnd w:id="118"/>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119"/>
    <w:bookmarkStart w:id="124" w:name="Xf06ad23f30569c7befde82a62932c7a72607953"/>
    <w:p>
      <w:pPr>
        <w:pStyle w:val="Heading6"/>
      </w:pPr>
      <w:r>
        <w:t xml:space="preserve">Catégorisation par validation des cohérences</w:t>
      </w:r>
    </w:p>
    <w:p>
      <w:pPr>
        <w:pStyle w:val="FirstParagraph"/>
      </w:pPr>
      <w:r>
        <w:t xml:space="preserve">Ce second dispositif met lui aussi en relation deux informations mais cette fois la représentation visuelles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 Pour faciliter le travail de catégorisation, une minuterie permet de changer automatiquement la photo ou le réseau de concept. Le fonctionnement de ce processus de catégorisation est : - visible dans cette vidéo : https://polemika.univ-paris8.fr/omk/s/contenus/page/categorisation-par-validation-des-coherences - utilisable dans cette page : https://polemika.univ-paris8.fr/omk/s/prototypes/page/rapports-mondes</w:t>
      </w:r>
    </w:p>
    <w:tbl>
      <w:tblPr>
        <w:tblStyle w:val="Table"/>
        <w:tblW w:type="pct" w:w="5000"/>
        <w:tblLook w:firstRow="0" w:lastRow="0" w:firstColumn="0" w:lastColumn="0" w:noHBand="0" w:noVBand="0" w:val="0000"/>
        <w:jc w:val="start"/>
        <w:tblLayout w:type="fixed"/>
      </w:tblPr>
      <w:tblGrid>
        <w:gridCol w:w="7920"/>
      </w:tblGrid>
      <w:tr>
        <w:tc>
          <w:tcPr/>
          <w:bookmarkStart w:id="123" w:name="fig-polemikaReseau"/>
          <w:p>
            <w:pPr>
              <w:pStyle w:val="Compact"/>
              <w:jc w:val="center"/>
            </w:pPr>
            <w:r>
              <w:drawing>
                <wp:inline>
                  <wp:extent cx="3495515" cy="2027582"/>
                  <wp:effectExtent b="0" l="0" r="0" t="0"/>
                  <wp:docPr descr="" title="" id="121" name="Picture"/>
                  <a:graphic>
                    <a:graphicData uri="http://schemas.openxmlformats.org/drawingml/2006/picture">
                      <pic:pic>
                        <pic:nvPicPr>
                          <pic:cNvPr descr="images/polemikaReseau.png" id="122" name="Picture"/>
                          <pic:cNvPicPr>
                            <a:picLocks noChangeArrowheads="1" noChangeAspect="1"/>
                          </pic:cNvPicPr>
                        </pic:nvPicPr>
                        <pic:blipFill>
                          <a:blip r:embed="rId120"/>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Catégorisation par validation des cohérences</w:t>
            </w:r>
          </w:p>
          <w:bookmarkEnd w:id="123"/>
        </w:tc>
      </w:tr>
    </w:tbl>
    <w:bookmarkEnd w:id="124"/>
    <w:bookmarkStart w:id="133" w:name="catégorisation-émotionnelle"/>
    <w:p>
      <w:pPr>
        <w:pStyle w:val="Heading6"/>
      </w:pPr>
      <w:r>
        <w:t xml:space="preserve">Catégorisation émotionnelle</w:t>
      </w:r>
    </w:p>
    <w:p>
      <w:pPr>
        <w:pStyle w:val="FirstParagraph"/>
      </w:pPr>
      <w:r>
        <w:t xml:space="preserve">Ce processus de catégorisation utilise un jeu sérieux pour capter les émotions produites par la consultation de fake news et visualiser ensuite le résultat de cette évaluation pour la corriger et en faire une analyse précise. Le fonctionnement de ce processus de catégorisation est : - visible dans cette vidéo : https://polemika.univ-paris8.fr/omk/s/contenus/page/categorisation-emotionnelle - utilisable dans cette page : https://polemika.univ-paris8.fr/omk/s/emotions/page/welcome</w:t>
      </w:r>
    </w:p>
    <w:bookmarkStart w:id="132"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28" w:name="fig-polemikaEmotions1"/>
                <w:p>
                  <w:pPr>
                    <w:pStyle w:val="Compact"/>
                    <w:jc w:val="center"/>
                    <w:jc w:val="left"/>
                  </w:pPr>
                  <w:r>
                    <w:drawing>
                      <wp:inline>
                        <wp:extent cx="2971800" cy="2158465"/>
                        <wp:effectExtent b="0" l="0" r="0" t="0"/>
                        <wp:docPr descr="" title="" id="126" name="Picture"/>
                        <a:graphic>
                          <a:graphicData uri="http://schemas.openxmlformats.org/drawingml/2006/picture">
                            <pic:pic>
                              <pic:nvPicPr>
                                <pic:cNvPr descr="images/polemikaEmotions.png" id="127" name="Picture"/>
                                <pic:cNvPicPr>
                                  <a:picLocks noChangeArrowheads="1" noChangeAspect="1"/>
                                </pic:cNvPicPr>
                              </pic:nvPicPr>
                              <pic:blipFill>
                                <a:blip r:embed="rId125"/>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128"/>
              </w:tc>
            </w:tr>
          </w:tbl>
          <w:p/>
        </w:tc>
        <w:tc>
          <w:tcPr/>
          <w:p>
            <w:pPr>
              <w:pStyle w:val="CaptionedFigure"/>
              <w:jc w:val="left"/>
            </w:pPr>
            <w:r>
              <w:drawing>
                <wp:inline>
                  <wp:extent cx="2971800" cy="2500774"/>
                  <wp:effectExtent b="0" l="0" r="0" t="0"/>
                  <wp:docPr descr="Etape 2" title="" id="130" name="Picture"/>
                  <a:graphic>
                    <a:graphicData uri="http://schemas.openxmlformats.org/drawingml/2006/picture">
                      <pic:pic>
                        <pic:nvPicPr>
                          <pic:cNvPr descr="images/polemikaEmotions1.png" id="131" name="Picture"/>
                          <pic:cNvPicPr>
                            <a:picLocks noChangeArrowheads="1" noChangeAspect="1"/>
                          </pic:cNvPicPr>
                        </pic:nvPicPr>
                        <pic:blipFill>
                          <a:blip r:embed="rId129"/>
                          <a:stretch>
                            <a:fillRect/>
                          </a:stretch>
                        </pic:blipFill>
                        <pic:spPr bwMode="auto">
                          <a:xfrm>
                            <a:off x="0" y="0"/>
                            <a:ext cx="2971800" cy="2500774"/>
                          </a:xfrm>
                          <a:prstGeom prst="rect">
                            <a:avLst/>
                          </a:prstGeom>
                          <a:noFill/>
                          <a:ln w="9525">
                            <a:noFill/>
                            <a:headEnd/>
                            <a:tailEnd/>
                          </a:ln>
                        </pic:spPr>
                      </pic:pic>
                    </a:graphicData>
                  </a:graphic>
                </wp:inline>
              </w:drawing>
            </w:r>
          </w:p>
          <w:p>
            <w:pPr>
              <w:pStyle w:val="ImageCaption"/>
              <w:jc w:val="left"/>
            </w:pPr>
            <w:r>
              <w:t xml:space="preserve">Etape 2</w:t>
            </w:r>
          </w:p>
        </w:tc>
      </w:tr>
    </w:tbl>
    <w:p>
      <w:pPr>
        <w:pStyle w:val="BodyText"/>
      </w:pPr>
      <w:pPr>
        <w:spacing w:before="200"/>
        <w:pStyle w:val="ImageCaption"/>
      </w:pPr>
      <w:r>
        <w:t xml:space="preserve">Figure 1.12: Catégorisation émotionnelle</w:t>
      </w:r>
    </w:p>
    <w:bookmarkEnd w:id="132"/>
    <w:bookmarkEnd w:id="133"/>
    <w:bookmarkEnd w:id="134"/>
    <w:bookmarkEnd w:id="135"/>
    <w:bookmarkEnd w:id="136"/>
    <w:bookmarkStart w:id="140" w:name="projet-arcanespositionnements-7"/>
    <w:p>
      <w:pPr>
        <w:pStyle w:val="Heading3"/>
      </w:pPr>
      <w:r>
        <w:t xml:space="preserve">1.2.8 Projet Arcanes</w:t>
      </w:r>
      <w:r>
        <w:rPr>
          <w:rStyle w:val="FootnoteReference"/>
        </w:rPr>
        <w:footnoteReference w:id="137"/>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 </w:t>
      </w:r>
    </w:p>
    <w:p>
      <w:pPr>
        <w:pStyle w:val="BodyText"/>
      </w:pPr>
      <w:r>
        <w:t xml:space="preserve">Nos objectifs sont les suivants : </w:t>
      </w:r>
    </w:p>
    <w:p>
      <w:pPr>
        <w:numPr>
          <w:ilvl w:val="0"/>
          <w:numId w:val="1012"/>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12"/>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12"/>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 </w:t>
      </w:r>
    </w:p>
    <w:bookmarkStart w:id="138" w:name="contexte"/>
    <w:p>
      <w:pPr>
        <w:pStyle w:val="Heading4"/>
      </w:pPr>
      <w:r>
        <w:t xml:space="preserve">1.2.8.1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-SMEL, 2018-2020) qui centrait l’analyse sur les phénomènes de médiation actifs dans le spectacle de magie, autour de la figure-phare d’Houdini, à partir des archives inédites du Musée McCord. Il s’agissait par la suite de comparer deux moments de médiation charnières (débuts XXe et XXIe siècles) par des allers-retours permettant d’éclairer les phénomènes contemporains de désinformation (Bourassa et als 2019b).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 </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138"/>
    <w:bookmarkStart w:id="139" w:name="Xbaeb3851667663e4eb94ebecc79142a71376b46"/>
    <w:p>
      <w:pPr>
        <w:pStyle w:val="Heading4"/>
      </w:pPr>
      <w:r>
        <w:t xml:space="preserve">1.2.8.2 Axe d’éditorialisation numérique : développement d’un écosystème de connaissance</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p>
      <w:pPr>
        <w:pStyle w:val="BodyText"/>
      </w:pPr>
      <w:r>
        <w:t xml:space="preserve">Ces publications et ces projets donnent un bon aperçu de mon parcours depuis ma thèse mais présentons maintenant de manière encore plus précise mon écosystème de connaissances à partir des résultats de ma veille informationnelle.</w:t>
      </w:r>
    </w:p>
    <w:bookmarkEnd w:id="139"/>
    <w:bookmarkEnd w:id="140"/>
    <w:bookmarkEnd w:id="141"/>
    <w:bookmarkStart w:id="171" w:name="sec-processusVeille"/>
    <w:p>
      <w:pPr>
        <w:pStyle w:val="Heading2"/>
      </w:pPr>
      <w:r>
        <w:t xml:space="preserve">1.3 Processus de veille pour créer un écosystème de connaissances</w:t>
      </w:r>
    </w:p>
    <w:p>
      <w:pPr>
        <w:pStyle w:val="FirstParagraph"/>
      </w:pPr>
      <w:r>
        <w:t xml:space="preserve">Depuis une quinzaine d’années, je mène un veille active pour à la fois trouver, filtrer, organiser et diffuser les informations pertinentes pour mes travaux de recherche et d’enseignement. Au fil du temps, j’ai mis en place un processus spécifique pour effectuer cette tâche le plus efficacement possible. Ce processus s’inspire des pratiques professionnelles</w:t>
      </w:r>
      <w:r>
        <w:t xml:space="preserve"> </w:t>
      </w:r>
      <w:r>
        <w:t xml:space="preserve">(Andro, Bondu, Dupin, &amp; Deschamps, 2022)</w:t>
      </w:r>
      <w:r>
        <w:t xml:space="preserve"> </w:t>
      </w:r>
      <w:r>
        <w:t xml:space="preserve">que j’adapte pour consacrer à ce travail une matinée par semaine.</w:t>
      </w:r>
    </w:p>
    <w:bookmarkStart w:id="147" w:name="sec-selectSources"/>
    <w:p>
      <w:pPr>
        <w:pStyle w:val="Heading3"/>
      </w:pPr>
      <w:r>
        <w:t xml:space="preserve">1.3.1 Sélectionner des sources</w:t>
      </w:r>
    </w:p>
    <w:p>
      <w:pPr>
        <w:pStyle w:val="FirstParagraph"/>
      </w:pPr>
      <w:r>
        <w:t xml:space="preserve">La première étape de ce processus de veille consiste à sélectionner des sources d’informations qui me semble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142"/>
      </w:r>
      <w:r>
        <w:t xml:space="preserve"> </w:t>
      </w:r>
      <w:r>
        <w:t xml:space="preserve">et des forums</w:t>
      </w:r>
      <w:r>
        <w:rPr>
          <w:rStyle w:val="FootnoteReference"/>
        </w:rPr>
        <w:footnoteReference w:id="143"/>
      </w:r>
      <w:r>
        <w:t xml:space="preserve">, soit en utilisant le services d’alertes proposé par Google, Google Scholar et HAL</w:t>
      </w:r>
      <w:r>
        <w:rPr>
          <w:rStyle w:val="FootnoteReference"/>
        </w:rPr>
        <w:footnoteReference w:id="144"/>
      </w:r>
      <w:r>
        <w:t xml:space="preserve">. Pour les alertes, j’en ai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 une bonne idée de l’activité informationnelle dans un domaine. J’utilise aussi le service de CAIRN pour recevoir automatiquement les nouvelles parutions des revues scientifiques qui m’intéresse.</w:t>
      </w:r>
    </w:p>
    <w:p>
      <w:pPr>
        <w:pStyle w:val="FirstParagraph"/>
      </w:pPr>
      <w:r>
        <w:t xml:space="preserve">Pour consulter les flux RSS</w:t>
      </w:r>
      <w:r>
        <w:rPr>
          <w:rStyle w:val="FootnoteReference"/>
        </w:rPr>
        <w:footnoteReference w:id="145"/>
      </w:r>
      <w:r>
        <w:t xml:space="preserve"> </w:t>
      </w:r>
      <w:r>
        <w:t xml:space="preserve">que j’ai sélectionnés, j’utilise l’agrégateur de flux Netvibes</w:t>
      </w:r>
      <w:r>
        <w:rPr>
          <w:rStyle w:val="FootnoteReference"/>
        </w:rPr>
        <w:footnoteReference w:id="146"/>
      </w:r>
      <w:r>
        <w:t xml:space="preserve"> </w:t>
      </w:r>
      <w:r>
        <w:t xml:space="preserve">qui permet une lecture rapide des flux à partir du titre des articles. Notons que la durée de vie d’un flux RSS est relativement limité puisque sur le 180 flux que j’ai sélectionnés plus de la moitiés ne sont plus opérationnels. Par exemple, le site d’Amazon ne met plus à disposition de flux RSS pour suivre les parutions d’ouvrage dans un domaine spécifique.</w:t>
      </w:r>
    </w:p>
    <w:bookmarkEnd w:id="147"/>
    <w:bookmarkStart w:id="148" w:name="sec-filtrerInfos"/>
    <w:p>
      <w:pPr>
        <w:pStyle w:val="Heading3"/>
      </w:pPr>
      <w:r>
        <w:t xml:space="preserve">1.3.2 Filtrer les informations</w:t>
      </w:r>
    </w:p>
    <w:p>
      <w:pPr>
        <w:pStyle w:val="FirstParagraph"/>
      </w:pPr>
      <w:r>
        <w:t xml:space="preserve">La deuxième étape du processus de veille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148"/>
    <w:bookmarkStart w:id="150" w:name="sec-annoterReference"/>
    <w:p>
      <w:pPr>
        <w:pStyle w:val="Heading3"/>
      </w:pPr>
      <w:r>
        <w:t xml:space="preserve">1.3.3 Annoter les références</w:t>
      </w:r>
    </w:p>
    <w:p>
      <w:pPr>
        <w:pStyle w:val="FirstParagraph"/>
      </w:pPr>
      <w:r>
        <w:t xml:space="preserve">L’étape d’annotation des références est très importante car elle consiste à enregistrer les informations pour enrichir ma base de connaissances. Pour effectuer cette troisième étape du processus, j’utilise deux outils complémentaires. Pour ce qui concerne les données bibliographiques non numérisées, j’ai fait le choix de Zotero pour enregistrer les références de la données et les annoter avec une liste de mots clefs et des citations du document dans des notes. Notons que Zotero ajoute automatiquement des mots clefs lorsque ceux-ci sont précisés dans les métadonnées du document. Concernant les données du Web, j’utilise l’outil d’annotation Diigo</w:t>
      </w:r>
      <w:r>
        <w:rPr>
          <w:rStyle w:val="FootnoteReference"/>
        </w:rPr>
        <w:footnoteReference w:id="149"/>
      </w:r>
      <w:r>
        <w:t xml:space="preserve"> </w:t>
      </w:r>
      <w:r>
        <w:t xml:space="preserve">pour non seulement enregistrer l’URL d’un document Web mais aussi le décrire avec des mots clefs, surligner avec différentes couleurs une partie du document pour l’extraire et la commenter, faire des copies d’écran pour conserver une partie de la page visualisée.</w:t>
      </w:r>
    </w:p>
    <w:p>
      <w:pPr>
        <w:pStyle w:val="FirstParagraph"/>
      </w:pPr>
      <w:r>
        <w:t xml:space="preserve">En terme d’indexation, cette étape d’annotation enregistre les rapports entre des informations physiques concernant les références d’un document et de ses parties, des informations conceptuelles à travers les mots clefs utilisés, des informations sur l’actant qui fait l’annotation à un moment donnée.</w:t>
      </w:r>
    </w:p>
    <w:bookmarkEnd w:id="150"/>
    <w:bookmarkStart w:id="164" w:name="sec-utiliserAnnotations"/>
    <w:p>
      <w:pPr>
        <w:pStyle w:val="Heading3"/>
      </w:pPr>
      <w:r>
        <w:t xml:space="preserve">1.3.4 Utiliser les annotations</w:t>
      </w:r>
    </w:p>
    <w:p>
      <w:pPr>
        <w:pStyle w:val="FirstParagraph"/>
      </w:pPr>
      <w:r>
        <w:t xml:space="preserve">L’usage le plus fréquent que je fais des annotations consiste à référencer nos écrits scientifiques en utilisant des URLs ou des données bibliographiques que j’intégre directement dans le texte grâce au connecteur Zotero</w:t>
      </w:r>
      <w:r>
        <w:rPr>
          <w:rStyle w:val="FootnoteReference"/>
        </w:rPr>
        <w:footnoteReference w:id="151"/>
      </w:r>
      <w:r>
        <w:t xml:space="preserve">, comme c’est le cas dans ce travail. Les références enregistrées dans ma base de connaissances se retrouvent facilement en faisant une recherche par mot clef ou en plein texte. Les résultats de ces recherches donnent une liste de documents dont les annotations font office de résumé. En visualisant les mots clefs utilisés et les parties sélectionnées, il n’est plus nécessaire de consulter l’intégralité du document. Par exemple, voici la page d’annotation d’un article dans Diigo :</w:t>
      </w:r>
    </w:p>
    <w:tbl>
      <w:tblPr>
        <w:tblStyle w:val="Table"/>
        <w:tblW w:type="pct" w:w="5000"/>
        <w:tblLook w:firstRow="0" w:lastRow="0" w:firstColumn="0" w:lastColumn="0" w:noHBand="0" w:noVBand="0" w:val="0000"/>
        <w:jc w:val="start"/>
        <w:tblLayout w:type="fixed"/>
      </w:tblPr>
      <w:tblGrid>
        <w:gridCol w:w="7920"/>
      </w:tblGrid>
      <w:tr>
        <w:tc>
          <w:tcPr/>
          <w:bookmarkStart w:id="155" w:name="fig-annotationDiigo"/>
          <w:p>
            <w:pPr>
              <w:pStyle w:val="Compact"/>
              <w:jc w:val="center"/>
            </w:pPr>
            <w:r>
              <w:drawing>
                <wp:inline>
                  <wp:extent cx="5334000" cy="3502583"/>
                  <wp:effectExtent b="0" l="0" r="0" t="0"/>
                  <wp:docPr descr="" title="" id="153" name="Picture"/>
                  <a:graphic>
                    <a:graphicData uri="http://schemas.openxmlformats.org/drawingml/2006/picture">
                      <pic:pic>
                        <pic:nvPicPr>
                          <pic:cNvPr descr="media/10000001000003A4000002648983E64502CE7461.png" id="154" name="Picture"/>
                          <pic:cNvPicPr>
                            <a:picLocks noChangeArrowheads="1" noChangeAspect="1"/>
                          </pic:cNvPicPr>
                        </pic:nvPicPr>
                        <pic:blipFill>
                          <a:blip r:embed="rId152"/>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Article annoté dans Diigo</w:t>
            </w:r>
          </w:p>
          <w:bookmarkEnd w:id="155"/>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156"/>
      </w:r>
      <w:r>
        <w:t xml:space="preserve">.</w:t>
      </w:r>
    </w:p>
    <w:p>
      <w:pPr>
        <w:pStyle w:val="FirstParagraph"/>
      </w:pPr>
      <w:r>
        <w:t xml:space="preserve">Un autre usage particulièrement intéressant des annotations est la conservation des références qui ne sont plus accessibles en ligne et qui représente dans notre corpus plus de 10 % des URL (cf. ci-dessous). Lorsque nous importons les annotations Web depuis Diigo vers ma de base de connaissances Omeka S</w:t>
      </w:r>
      <w:r>
        <w:t xml:space="preserve"> </w:t>
      </w:r>
      <w:hyperlink w:anchor="sec-importDiigo">
        <w:r>
          <w:rPr>
            <w:rStyle w:val="Hyperlink"/>
          </w:rPr>
          <w:t xml:space="preserve">Section 9.1.4.2.1</w:t>
        </w:r>
      </w:hyperlink>
      <w:r>
        <w:t xml:space="preserve">, je teste la validité de l’URL et enregistre son statut</w:t>
      </w:r>
      <w:r>
        <w:rPr>
          <w:rStyle w:val="FootnoteReference"/>
        </w:rPr>
        <w:footnoteReference w:id="158"/>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163" w:name="fig-statutUrlDiigo"/>
          <w:p>
            <w:pPr>
              <w:pStyle w:val="Compact"/>
              <w:jc w:val="center"/>
            </w:pPr>
            <w:r>
              <w:drawing>
                <wp:inline>
                  <wp:extent cx="5334000" cy="5586432"/>
                  <wp:effectExtent b="0" l="0" r="0" t="0"/>
                  <wp:docPr descr="" title="" id="161" name="Picture"/>
                  <a:graphic>
                    <a:graphicData uri="http://schemas.openxmlformats.org/drawingml/2006/picture">
                      <pic:pic>
                        <pic:nvPicPr>
                          <pic:cNvPr descr="media/10000001000001E6000001FDFBA335D820BED6E2.png" id="162" name="Picture"/>
                          <pic:cNvPicPr>
                            <a:picLocks noChangeArrowheads="1" noChangeAspect="1"/>
                          </pic:cNvPicPr>
                        </pic:nvPicPr>
                        <pic:blipFill>
                          <a:blip r:embed="rId160"/>
                          <a:stretch>
                            <a:fillRect/>
                          </a:stretch>
                        </pic:blipFill>
                        <pic:spPr bwMode="auto">
                          <a:xfrm>
                            <a:off x="0" y="0"/>
                            <a:ext cx="5334000" cy="55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Répartition de la classe des statuts pour les URL dans Diigo</w:t>
            </w:r>
          </w:p>
          <w:bookmarkEnd w:id="163"/>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t xml:space="preserve"> </w:t>
      </w:r>
      <w:hyperlink w:anchor="sec-chaoticumSeminario">
        <w:r>
          <w:rPr>
            <w:rStyle w:val="Hyperlink"/>
          </w:rPr>
          <w:t xml:space="preserve">Section 9.1.5</w:t>
        </w:r>
      </w:hyperlink>
      <w:r>
        <w:t xml:space="preserve">.</w:t>
      </w:r>
    </w:p>
    <w:bookmarkEnd w:id="164"/>
    <w:bookmarkStart w:id="169" w:name="sec-diffuserAnnotations"/>
    <w:p>
      <w:pPr>
        <w:pStyle w:val="Heading3"/>
      </w:pPr>
      <w:r>
        <w:t xml:space="preserve">1.3.5 Diffuser les annotations</w:t>
      </w:r>
    </w:p>
    <w:p>
      <w:pPr>
        <w:pStyle w:val="FirstParagraph"/>
      </w:pPr>
      <w:r>
        <w:t xml:space="preserve">Ce travail d’annotation et de sélection de citation me fourni une base de connaissances de plus de 1 400 références bibliographiques et plus de 19 000 références Web qui sont indexées par plus de 6 000 concepts. L’ensemble de ces données sont accessibles soit sur les Zotero pour les références bibliographiques</w:t>
      </w:r>
      <w:r>
        <w:rPr>
          <w:rStyle w:val="FootnoteReference"/>
        </w:rPr>
        <w:footnoteReference w:id="165"/>
      </w:r>
      <w:r>
        <w:t xml:space="preserve">, soit sur Diigo pour les références Web</w:t>
      </w:r>
      <w:r>
        <w:rPr>
          <w:rStyle w:val="FootnoteReference"/>
        </w:rPr>
        <w:footnoteReference w:id="167"/>
      </w:r>
      <w:r>
        <w:t xml:space="preserve">, soit directement dans mon site Omeka S dans un format HTML pour naviguer dans la base de données ou en JSON</w:t>
      </w:r>
      <w:r>
        <w:rPr>
          <w:rStyle w:val="FootnoteReference"/>
        </w:rPr>
        <w:footnoteReference w:id="168"/>
      </w:r>
      <w:r>
        <w:t xml:space="preserve"> </w:t>
      </w:r>
      <w:r>
        <w:t xml:space="preserve">pour analyser les données avec des algorithmes.</w:t>
      </w:r>
    </w:p>
    <w:bookmarkEnd w:id="169"/>
    <w:bookmarkStart w:id="170" w:name="sec-reflechirProcessus"/>
    <w:p>
      <w:pPr>
        <w:pStyle w:val="Heading3"/>
      </w:pPr>
      <w:r>
        <w:t xml:space="preserve">1.3.6 Réfléchir le processus</w:t>
      </w:r>
    </w:p>
    <w:p>
      <w:pPr>
        <w:pStyle w:val="FirstParagraph"/>
      </w:pPr>
      <w:r>
        <w:t xml:space="preserve">Le processus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Toutefois, le fait que les étapes du processus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2.1</w:t>
        </w:r>
      </w:hyperlink>
      <w:r>
        <w:t xml:space="preserve"> </w:t>
      </w:r>
      <w:r>
        <w:t xml:space="preserve">. En enregistrant ces décisions via des dispositifs numériques, le processus de veille offre dès lors un triple intérêt. Premièrement, il permet d’explorer rationnellement une domaine de connaissances. Deuxièmement, 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 </w:t>
      </w:r>
      <w:r>
        <w:t xml:space="preserve">(Lévy, 2023a)</w:t>
      </w:r>
    </w:p>
    <w:p>
      <w:pPr>
        <w:pStyle w:val="FirstParagraph"/>
      </w:pPr>
      <w:r>
        <w:t xml:space="preserve">Troisièmement, il donne une représentation d’une subjectivité et de ces évolutions ce qui conditionne le développement de la réflexivité et de l’esprit critique</w:t>
      </w:r>
      <w:r>
        <w:t xml:space="preserve"> </w:t>
      </w:r>
      <w:r>
        <w:t xml:space="preserve">(Desfriches Doria &amp; Meunier, 2021b)</w:t>
      </w:r>
      <w:r>
        <w:t xml:space="preserve">.</w:t>
      </w:r>
    </w:p>
    <w:p>
      <w:pPr>
        <w:pStyle w:val="BodyText"/>
      </w:pPr>
      <w:r>
        <w:t xml:space="preserve">Entre l’automatisation du processus et les choix manuels, il convient donc de pratiquer le bon équilibre entre alléger le travail et construire son esprit critique</w:t>
      </w:r>
      <w:r>
        <w:t xml:space="preserve"> </w:t>
      </w:r>
      <w:r>
        <w:rPr>
          <w:bCs/>
          <w:b/>
        </w:rPr>
        <w:t xml:space="preserve">?@sec-part-technoIntello</w:t>
      </w:r>
      <w:r>
        <w:t xml:space="preserve">.</w:t>
      </w:r>
    </w:p>
    <w:bookmarkEnd w:id="170"/>
    <w:bookmarkEnd w:id="171"/>
    <w:bookmarkStart w:id="189" w:name="Xf93c108d4622585fde26c994b041f49d072c9e6"/>
    <w:p>
      <w:pPr>
        <w:pStyle w:val="Heading2"/>
      </w:pPr>
      <w:r>
        <w:t xml:space="preserve">1.4 Cartographie existentielle de mon écosystème de connaissances</w:t>
      </w:r>
    </w:p>
    <w:p>
      <w:pPr>
        <w:pStyle w:val="FirstParagraph"/>
      </w:pPr>
      <w:r>
        <w:t xml:space="preserve">A partir du processus de veille que nous venons de décrire, j’ai constitué une base de connaissances qui reflète de manière très précise mon environnement scientifique et intellectuel. Pour faciliter le traitement des données de cette environnement nous les avons centralisées dans Omeka S qui représente une base de données SQL de 75 tables peuplées par plus de 2 000 000 de lignes</w:t>
      </w:r>
      <w:r>
        <w:rPr>
          <w:rStyle w:val="FootnoteReference"/>
        </w:rPr>
        <w:footnoteReference w:id="172"/>
      </w:r>
      <w:r>
        <w:t xml:space="preserve">. Le graphique ci-dessous présente la répartition des objets disponibles dans cet écosystème suivant leur classe</w:t>
      </w:r>
      <w:r>
        <w:rPr>
          <w:rStyle w:val="FootnoteReference"/>
        </w:rPr>
        <w:footnoteReference w:id="173"/>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77" w:name="fig-repartitionClass"/>
          <w:p>
            <w:pPr>
              <w:pStyle w:val="Compact"/>
              <w:jc w:val="center"/>
            </w:pPr>
            <w:r>
              <w:drawing>
                <wp:inline>
                  <wp:extent cx="3992399" cy="2656079"/>
                  <wp:effectExtent b="0" l="0" r="0" t="0"/>
                  <wp:docPr descr="" title="" id="175" name="Picture"/>
                  <a:graphic>
                    <a:graphicData uri="http://schemas.openxmlformats.org/drawingml/2006/picture">
                      <pic:pic>
                        <pic:nvPicPr>
                          <pic:cNvPr descr="media/100000010000023E0000017E87A6A293BEC71C5E.png" id="176" name="Picture"/>
                          <pic:cNvPicPr>
                            <a:picLocks noChangeArrowheads="1" noChangeAspect="1"/>
                          </pic:cNvPicPr>
                        </pic:nvPicPr>
                        <pic:blipFill>
                          <a:blip r:embed="rId174"/>
                          <a:stretch>
                            <a:fillRect/>
                          </a:stretch>
                        </pic:blipFill>
                        <pic:spPr bwMode="auto">
                          <a:xfrm>
                            <a:off x="0" y="0"/>
                            <a:ext cx="3992399" cy="2656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Répartition des classes par nombre d’objet dans l’écosystème</w:t>
            </w:r>
          </w:p>
          <w:bookmarkEnd w:id="177"/>
        </w:tc>
      </w:tr>
    </w:tbl>
    <w:p>
      <w:pPr>
        <w:pStyle w:val="BodyText"/>
      </w:pPr>
      <w:r>
        <w:t xml:space="preserve">Le graphique montre que les deux tiers des objets dans l’écosystème sont des annotations (61 120 = 60 %) qui créent un rapport entre un document, un actant et un concept. Nous retrouvons ici le 4 dimensions du modèle que nous utilisons pour modéliser les connaissances (</w:t>
      </w:r>
      <w:hyperlink w:anchor="sec-modeleOntoEthique">
        <w:r>
          <w:rPr>
            <w:rStyle w:val="Hyperlink"/>
          </w:rPr>
          <w:t xml:space="preserve">Section 5.0.2</w:t>
        </w:r>
      </w:hyperlink>
      <w:r>
        <w:t xml:space="preserve">) : document, actant, concept, rapport. Plus précisément, la dimension physique (documentaire) est composée essentiellement de pages Web (19 491 items = 19 %</w:t>
      </w:r>
      <w:r>
        <w:rPr>
          <w:rStyle w:val="FootnoteReference"/>
        </w:rPr>
        <w:footnoteReference w:id="178"/>
      </w:r>
      <w:r>
        <w:t xml:space="preserve">), des citations (8 994 = 9 %), de médias (3 427 = 3 %), des notes (1 488 = 1 %) et des livres (568 = 1 %) issues de notre processus de veille. Les autres dimensions de l’écosystème sont les concepts (6 266 = 6 %) et les personnes (1 898 = 2 %) associées aux actants (500 = 0,5 %). Le graphique ci-dessous montre cette répartition des objets suivant les dimension existentielles :</w:t>
      </w:r>
    </w:p>
    <w:tbl>
      <w:tblPr>
        <w:tblStyle w:val="Table"/>
        <w:tblW w:type="pct" w:w="5000"/>
        <w:tblLook w:firstRow="0" w:lastRow="0" w:firstColumn="0" w:lastColumn="0" w:noHBand="0" w:noVBand="0" w:val="0000"/>
        <w:jc w:val="start"/>
        <w:tblLayout w:type="fixed"/>
      </w:tblPr>
      <w:tblGrid>
        <w:gridCol w:w="7920"/>
      </w:tblGrid>
      <w:tr>
        <w:tc>
          <w:tcPr/>
          <w:bookmarkStart w:id="183" w:name="fig-repartitionDimExi"/>
          <w:p>
            <w:pPr>
              <w:pStyle w:val="Compact"/>
              <w:jc w:val="center"/>
            </w:pPr>
            <w:r>
              <w:drawing>
                <wp:inline>
                  <wp:extent cx="4026599" cy="2886839"/>
                  <wp:effectExtent b="0" l="0" r="0" t="0"/>
                  <wp:docPr descr="" title="" id="181" name="Picture"/>
                  <a:graphic>
                    <a:graphicData uri="http://schemas.openxmlformats.org/drawingml/2006/picture">
                      <pic:pic>
                        <pic:nvPicPr>
                          <pic:cNvPr descr="media/100000010000021900000181A00CD43E3311E6DF.png" id="182" name="Picture"/>
                          <pic:cNvPicPr>
                            <a:picLocks noChangeArrowheads="1" noChangeAspect="1"/>
                          </pic:cNvPicPr>
                        </pic:nvPicPr>
                        <pic:blipFill>
                          <a:blip r:embed="rId180"/>
                          <a:stretch>
                            <a:fillRect/>
                          </a:stretch>
                        </pic:blipFill>
                        <pic:spPr bwMode="auto">
                          <a:xfrm>
                            <a:off x="0" y="0"/>
                            <a:ext cx="4026599" cy="28868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Répartition des objets par dimension existentielle</w:t>
            </w:r>
          </w:p>
          <w:bookmarkEnd w:id="183"/>
        </w:tc>
      </w:tr>
    </w:tbl>
    <w:p>
      <w:pPr>
        <w:pStyle w:val="BodyText"/>
      </w:pPr>
      <w:r>
        <w:t xml:space="preserve">Cette représentation suivant la classe des objets sous estime la complexité de l’écosystème puisqu’elle ne prend pas en compte le détails des valeurs (dimension physique) de chaque propriété (dimension concept) ni l’actant qui exprime les rapports entre propriétés et valeurs, encore moins l’évolution de cette complexité au fur et à mesure que l’écosystème se transforme. Pour une meilleur compréhension de l’écosystème, nous considérons chaque donnée comme une existence particulière qui possède ça propre complexité qui s’ajoute à la complexité de l’ensemble. Cette complexité de l’objet est d’autant plus grande que la valeur d’une propriété est une ressource sous la forme d’une URI vers une page Web ou un lien vers une autre existence de l’écosystème est donc vers une nouvelle complexité qui elle aussi s’ajoute à la complexité globale. A partir des règles génériques pour calculer la complexité existentielle d’un écosystème (</w:t>
      </w:r>
      <w:hyperlink w:anchor="sec-complexiteExitentielle">
        <w:r>
          <w:rPr>
            <w:rStyle w:val="Hyperlink"/>
          </w:rPr>
          <w:t xml:space="preserve">Section 5.0.3</w:t>
        </w:r>
      </w:hyperlink>
      <w:r>
        <w:t xml:space="preserve">), nous obtenons pour l’écosystème de connaissances de ce travail une complexité de 38.4589 Millions, ce qui est très important en comparaison de la complexité d’une citation d’ouvrage qui varie entre 60 et 3 000 mais ce qui est très peu par rapport à la complexité d’une bibliothèque, de wikipédia ou d’une IA générative comme ChatGPT (</w:t>
      </w:r>
      <w:hyperlink w:anchor="sec-modeliserEcosystemeReference">
        <w:r>
          <w:rPr>
            <w:rStyle w:val="Hyperlink"/>
          </w:rPr>
          <w:t xml:space="preserve">Section 13.4</w:t>
        </w:r>
      </w:hyperlink>
      <w:r>
        <w:t xml:space="preserve">). Ce chiffre prend en compte l’ensemble des existences informationnelles qui peuplent notre base de connaissance, il nous est utile pour comparer les connaissances potentielles de ces existences dont on peut représenter la répartition suivant leur niveau de complexité (abscisse) et le nombre d’existence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188" w:name="fig-RepartitionComplexity"/>
          <w:p>
            <w:pPr>
              <w:pStyle w:val="Compact"/>
              <w:jc w:val="center"/>
            </w:pPr>
            <w:r>
              <w:drawing>
                <wp:inline>
                  <wp:extent cx="5334000" cy="3324969"/>
                  <wp:effectExtent b="0" l="0" r="0" t="0"/>
                  <wp:docPr descr="" title="" id="185" name="Picture"/>
                  <a:graphic>
                    <a:graphicData uri="http://schemas.openxmlformats.org/drawingml/2006/picture">
                      <pic:pic>
                        <pic:nvPicPr>
                          <pic:cNvPr descr="images/localhost_samszo_HDR_jdcComplexity.html.png" id="186" name="Picture"/>
                          <pic:cNvPicPr>
                            <a:picLocks noChangeArrowheads="1" noChangeAspect="1"/>
                          </pic:cNvPicPr>
                        </pic:nvPicPr>
                        <pic:blipFill>
                          <a:blip r:embed="rId184"/>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Répartition de la complexité des existences dans l’écosystème</w:t>
            </w:r>
            <w:r>
              <w:t xml:space="preserve"> </w:t>
            </w:r>
            <w:hyperlink r:id="rId187">
              <w:r>
                <w:rPr>
                  <w:rStyle w:val="Hyperlink"/>
                </w:rPr>
                <w:t xml:space="preserve">voir en ligne</w:t>
              </w:r>
            </w:hyperlink>
          </w:p>
          <w:bookmarkEnd w:id="188"/>
        </w:tc>
      </w:tr>
    </w:tbl>
    <w:p>
      <w:pPr>
        <w:pStyle w:val="BodyText"/>
      </w:pPr>
      <w:r>
        <w:t xml:space="preserve">Ce graphique montre que la complexité des existences est très diverse puisqu’elle s’établit entre 1 et presque 3 Millions, de même concernant le nombre d’existence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2</w:t>
        </w:r>
      </w:hyperlink>
      <w:r>
        <w:t xml:space="preserve"> </w:t>
      </w:r>
      <w:r>
        <w:t xml:space="preserve">et le programme de recherche que nous souhaitons développer</w:t>
      </w:r>
      <w:r>
        <w:t xml:space="preserve"> </w:t>
      </w:r>
      <w:hyperlink w:anchor="sec-visees">
        <w:r>
          <w:rPr>
            <w:rStyle w:val="Hyperlink"/>
          </w:rPr>
          <w:t xml:space="preserve">Chapter 3</w:t>
        </w:r>
      </w:hyperlink>
      <w:r>
        <w:t xml:space="preserve"> </w:t>
      </w:r>
      <w:r>
        <w:t xml:space="preserve">. Mais pour le moment focalisons-nous sur un aspect particulier en analysant les personnes présente dans l’écosystème.</w:t>
      </w:r>
    </w:p>
    <w:bookmarkEnd w:id="189"/>
    <w:bookmarkStart w:id="225" w:name="sec-personneEcoCon"/>
    <w:p>
      <w:pPr>
        <w:pStyle w:val="Heading2"/>
      </w:pPr>
      <w:r>
        <w:t xml:space="preserve">1.5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rencontrés… De plus, ces rapports évoluent dans le temps au fil des rencontre intellectuelles et amicales. Pour décrire ces relations, nous pourrions nous inspirer des propositions de Gabrielle Tarde</w:t>
      </w:r>
      <w:r>
        <w:t xml:space="preserve"> </w:t>
      </w:r>
      <w:r>
        <w:t xml:space="preserve">(Citton, 2008a)</w:t>
      </w:r>
      <w:r>
        <w:t xml:space="preserve"> </w:t>
      </w:r>
      <w:r>
        <w:t xml:space="preserve">pour réaliser une économie des affects à partir de trois registres : les « valeurs-utilités », les « valeurs-vérités » et les « valeurs-beautés. Nous verrons en détails</w:t>
      </w:r>
      <w:r>
        <w:t xml:space="preserve"> </w:t>
      </w:r>
      <w:hyperlink w:anchor="sec-confianceDonnees">
        <w:r>
          <w:rPr>
            <w:rStyle w:val="Hyperlink"/>
          </w:rPr>
          <w:t xml:space="preserve">Section 2.8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Premièrement, nous allons examiner l’importance de ces personnes dans mon écosystème de connaissances à partir d’un WordsStream</w:t>
      </w:r>
      <w:r>
        <w:rPr>
          <w:rStyle w:val="FootnoteReference"/>
        </w:rPr>
        <w:footnoteReference w:id="190"/>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194"/>
      </w:r>
      <w:r>
        <w:t xml:space="preserve">. Nous avons catégorisé ces existences suivant les quatre dimensions de notre modèle</w:t>
      </w:r>
      <w:r>
        <w:rPr>
          <w:rStyle w:val="FootnoteReference"/>
        </w:rPr>
        <w:footnoteReference w:id="196"/>
      </w:r>
      <w:r>
        <w:t xml:space="preserve"> </w:t>
      </w:r>
      <w:r>
        <w:t xml:space="preserve">(actants = 2 000, concepts = 822, document = 1214, rapports = 11 777) puis nous avons regroupé les rapports en 4 groupes :</w:t>
      </w:r>
    </w:p>
    <w:p>
      <w:pPr>
        <w:numPr>
          <w:ilvl w:val="0"/>
          <w:numId w:val="1013"/>
        </w:numPr>
      </w:pPr>
      <w:r>
        <w:t xml:space="preserve">les personnes qui sont co-auteur de mes publications (bleu)</w:t>
      </w:r>
    </w:p>
    <w:p>
      <w:pPr>
        <w:numPr>
          <w:ilvl w:val="0"/>
          <w:numId w:val="1013"/>
        </w:numPr>
      </w:pPr>
      <w:r>
        <w:t xml:space="preserve">les personnes qui ont participées à mes projets (vert)</w:t>
      </w:r>
    </w:p>
    <w:p>
      <w:pPr>
        <w:numPr>
          <w:ilvl w:val="0"/>
          <w:numId w:val="1013"/>
        </w:numPr>
      </w:pPr>
      <w:r>
        <w:t xml:space="preserve">les auteurs de mes références bibliographiques (rouge)</w:t>
      </w:r>
    </w:p>
    <w:p>
      <w:pPr>
        <w:numPr>
          <w:ilvl w:val="0"/>
          <w:numId w:val="1013"/>
        </w:numPr>
      </w:pPr>
      <w:r>
        <w:t xml:space="preserve">les auteurs des références pour lesquelles j’ai fait des annotations (orange).</w:t>
      </w:r>
    </w:p>
    <w:p>
      <w:pPr>
        <w:pStyle w:val="FirstParagraph"/>
      </w:pPr>
      <w:r>
        <w:t xml:space="preserve">Le diagramme obtenu représente l’évolution dans le temps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201" w:name="fig-wordstreamTot"/>
          <w:p>
            <w:pPr>
              <w:pStyle w:val="Compact"/>
              <w:jc w:val="center"/>
            </w:pPr>
            <w:r>
              <w:drawing>
                <wp:inline>
                  <wp:extent cx="5334000" cy="1100743"/>
                  <wp:effectExtent b="0" l="0" r="0" t="0"/>
                  <wp:docPr descr="" title="" id="199" name="Picture"/>
                  <a:graphic>
                    <a:graphicData uri="http://schemas.openxmlformats.org/drawingml/2006/picture">
                      <pic:pic>
                        <pic:nvPicPr>
                          <pic:cNvPr descr="images/localhost_samszo_HDR_docs_jdcStreamTot.png" id="200" name="Picture"/>
                          <pic:cNvPicPr>
                            <a:picLocks noChangeArrowheads="1" noChangeAspect="1"/>
                          </pic:cNvPicPr>
                        </pic:nvPicPr>
                        <pic:blipFill>
                          <a:blip r:embed="rId198"/>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Evolution de l’importance des personnes de l’écosystème</w:t>
            </w:r>
          </w:p>
          <w:bookmarkEnd w:id="201"/>
        </w:tc>
      </w:tr>
    </w:tbl>
    <w:p>
      <w:pPr>
        <w:pStyle w:val="BodyText"/>
      </w:pPr>
      <w:r>
        <w:t xml:space="preserve">L’image ci-dessus montre la totalité du diagramme pour les quatre catégories. Cette représentation ne permet pas de voir les détails que nous traiterons plus loin mais révèle tout de même quelques points important :</w:t>
      </w:r>
    </w:p>
    <w:p>
      <w:pPr>
        <w:numPr>
          <w:ilvl w:val="0"/>
          <w:numId w:val="1014"/>
        </w:numPr>
      </w:pPr>
      <w:r>
        <w:t xml:space="preserve">les références bibliographiques de mon écosystème de connaissances couvre une grand période temporelle (1515 - 2024) mais principalement le XXIème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 Ce travail reste à faire.</w:t>
      </w:r>
    </w:p>
    <w:p>
      <w:pPr>
        <w:numPr>
          <w:ilvl w:val="0"/>
          <w:numId w:val="1014"/>
        </w:numPr>
      </w:pPr>
      <w:r>
        <w:t xml:space="preserve">On note une baisse de l’importance du flux en 2012 et en 2020. La première date correspond à une activité importante de recherche de 2009 à 2012 lié à la thèse puis à sa rédaction et la seconde à la crise du COVID.</w:t>
      </w:r>
    </w:p>
    <w:p>
      <w:pPr>
        <w:numPr>
          <w:ilvl w:val="0"/>
          <w:numId w:val="1014"/>
        </w:numPr>
      </w:pPr>
      <w:r>
        <w:t xml:space="preserve">La part des publications (bleu) est très petite par rapport aux autres. Ceci correspond tout à fait au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206" w:name="fig-wordstreamPublications"/>
          <w:p>
            <w:pPr>
              <w:pStyle w:val="Compact"/>
              <w:jc w:val="center"/>
            </w:pPr>
            <w:hyperlink r:id="rId205">
              <w:r>
                <w:drawing>
                  <wp:inline>
                    <wp:extent cx="5334000" cy="2798265"/>
                    <wp:effectExtent b="0" l="0" r="0" t="0"/>
                    <wp:docPr descr="Evolution des co-auteurs de mes publications" title="" id="203" name="Picture"/>
                    <a:graphic>
                      <a:graphicData uri="http://schemas.openxmlformats.org/drawingml/2006/picture">
                        <pic:pic>
                          <pic:nvPicPr>
                            <pic:cNvPr descr="images/localhost_samszo_HDR_docs_jdcStreamPublications.png" id="204" name="Picture"/>
                            <pic:cNvPicPr>
                              <a:picLocks noChangeArrowheads="1" noChangeAspect="1"/>
                            </pic:cNvPicPr>
                          </pic:nvPicPr>
                          <pic:blipFill>
                            <a:blip r:embed="rId202"/>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1.19: Evolution des co-auteurs de mes publications</w:t>
            </w:r>
          </w:p>
          <w:bookmarkEnd w:id="206"/>
        </w:tc>
      </w:tr>
    </w:tbl>
    <w:p>
      <w:pPr>
        <w:pStyle w:val="BodyText"/>
      </w:pPr>
      <w:r>
        <w:t xml:space="preserve">En regardant plus en détail les co-auteurs de mes publications</w:t>
      </w:r>
      <w:r>
        <w:t xml:space="preserve"> </w:t>
      </w:r>
      <w:hyperlink w:anchor="fig-wordstreamPublications">
        <w:r>
          <w:rPr>
            <w:rStyle w:val="Hyperlink"/>
          </w:rPr>
          <w:t xml:space="preserve">Figure 1.19</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de l’EUR ArTec</w:t>
      </w:r>
      <w:r>
        <w:rPr>
          <w:rStyle w:val="FootnoteReference"/>
        </w:rPr>
        <w:footnoteReference w:id="207"/>
      </w:r>
      <w:r>
        <w:t xml:space="preserve"> </w:t>
      </w:r>
      <w:r>
        <w:t xml:space="preserve">et de l’Université Européenne EURUA</w:t>
      </w:r>
      <w:r>
        <w:rPr>
          <w:rStyle w:val="FootnoteReference"/>
        </w:rPr>
        <w:footnoteReference w:id="209"/>
      </w:r>
    </w:p>
    <w:tbl>
      <w:tblPr>
        <w:tblStyle w:val="Table"/>
        <w:tblW w:type="pct" w:w="5000"/>
        <w:tblLook w:firstRow="0" w:lastRow="0" w:firstColumn="0" w:lastColumn="0" w:noHBand="0" w:noVBand="0" w:val="0000"/>
        <w:jc w:val="start"/>
        <w:tblLayout w:type="fixed"/>
      </w:tblPr>
      <w:tblGrid>
        <w:gridCol w:w="7920"/>
      </w:tblGrid>
      <w:tr>
        <w:tc>
          <w:tcPr/>
          <w:bookmarkStart w:id="215" w:name="fig-wordstreamProjet"/>
          <w:p>
            <w:pPr>
              <w:pStyle w:val="Compact"/>
              <w:jc w:val="center"/>
            </w:pPr>
            <w:hyperlink r:id="rId214">
              <w:r>
                <w:drawing>
                  <wp:inline>
                    <wp:extent cx="5334000" cy="2798265"/>
                    <wp:effectExtent b="0" l="0" r="0" t="0"/>
                    <wp:docPr descr="Evolution des personnes participants aux projets" title="" id="212" name="Picture"/>
                    <a:graphic>
                      <a:graphicData uri="http://schemas.openxmlformats.org/drawingml/2006/picture">
                        <pic:pic>
                          <pic:nvPicPr>
                            <pic:cNvPr descr="images/localhost_samszo_HDR_docs_jdcStreamProjet.png" id="213" name="Picture"/>
                            <pic:cNvPicPr>
                              <a:picLocks noChangeArrowheads="1" noChangeAspect="1"/>
                            </pic:cNvPicPr>
                          </pic:nvPicPr>
                          <pic:blipFill>
                            <a:blip r:embed="rId211"/>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1.20: Evolution des personnes participants aux projets</w:t>
            </w:r>
          </w:p>
          <w:bookmarkEnd w:id="215"/>
        </w:tc>
      </w:tr>
    </w:tbl>
    <w:p>
      <w:pPr>
        <w:pStyle w:val="BodyText"/>
      </w:pPr>
      <w:r>
        <w:t xml:space="preserve">Le diagramme des personnes participants aux projets</w:t>
      </w:r>
      <w:r>
        <w:t xml:space="preserve"> </w:t>
      </w:r>
      <w:hyperlink w:anchor="fig-wordstreamProjet">
        <w:r>
          <w:rPr>
            <w:rStyle w:val="Hyperlink"/>
          </w:rPr>
          <w:t xml:space="preserve">Figure 1.20</w:t>
        </w:r>
      </w:hyperlink>
      <w:r>
        <w:t xml:space="preserve"> </w:t>
      </w:r>
      <w:r>
        <w:t xml:space="preserve">montre clairement l’augmentation des collaborations à partir de 2013 date à laquelle mon utilisation de GitHub devient plus importantes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220" w:name="fig-wordstreamAnnotations"/>
          <w:p>
            <w:pPr>
              <w:pStyle w:val="Compact"/>
              <w:jc w:val="center"/>
            </w:pPr>
            <w:hyperlink r:id="rId219">
              <w:r>
                <w:drawing>
                  <wp:inline>
                    <wp:extent cx="5334000" cy="4136880"/>
                    <wp:effectExtent b="0" l="0" r="0" t="0"/>
                    <wp:docPr descr="Evolution des personnes dont les publications sont annotées" title="" id="217" name="Picture"/>
                    <a:graphic>
                      <a:graphicData uri="http://schemas.openxmlformats.org/drawingml/2006/picture">
                        <pic:pic>
                          <pic:nvPicPr>
                            <pic:cNvPr descr="images/localhost_samszo_HDR_docs_jdcStream.html_cat=annotations.png" id="218" name="Picture"/>
                            <pic:cNvPicPr>
                              <a:picLocks noChangeArrowheads="1" noChangeAspect="1"/>
                            </pic:cNvPicPr>
                          </pic:nvPicPr>
                          <pic:blipFill>
                            <a:blip r:embed="rId216"/>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1.21: Evolution des personnes dont les publications sont annotées</w:t>
            </w:r>
          </w:p>
          <w:bookmarkEnd w:id="220"/>
        </w:tc>
      </w:tr>
    </w:tbl>
    <w:p>
      <w:pPr>
        <w:pStyle w:val="BodyText"/>
      </w:pPr>
      <w:r>
        <w:t xml:space="preserve">Le diagramme ci-dessus</w:t>
      </w:r>
      <w:r>
        <w:t xml:space="preserve"> </w:t>
      </w:r>
      <w:hyperlink w:anchor="fig-wordstreamAnnotations">
        <w:r>
          <w:rPr>
            <w:rStyle w:val="Hyperlink"/>
          </w:rPr>
          <w:t xml:space="preserve">Figure 1.21</w:t>
        </w:r>
      </w:hyperlink>
      <w:r>
        <w:t xml:space="preserve"> </w:t>
      </w:r>
      <w:r>
        <w:t xml:space="preserve">montre l’évolution de l’importance des personnes dont j’ai annoté les publications suivant le principe que plus j’ai annoté leurs publications plus elles sont importantes. Les annotations commencent en 2009 ce qui correspond au début de mon usage de Zotero</w:t>
      </w:r>
      <w:r>
        <w:t xml:space="preserve"> </w:t>
      </w:r>
      <w:hyperlink w:anchor="sec-annoterReference">
        <w:r>
          <w:rPr>
            <w:rStyle w:val="Hyperlink"/>
          </w:rPr>
          <w:t xml:space="preserve">Section 1.3.3</w:t>
        </w:r>
      </w:hyperlink>
      <w:r>
        <w:t xml:space="preserve">. Pour donner une représentation plus complète de mon travail d’annotation des références bibliographiques, il faudrait numériser les notes que je prises sur du papier et plus encore expliciter les notes prises directement dans les ouvrages</w:t>
      </w:r>
      <w:r>
        <w:t xml:space="preserve"> </w:t>
      </w:r>
      <w:hyperlink w:anchor="fig-annotationsLivre">
        <w:r>
          <w:rPr>
            <w:rStyle w:val="Hyperlink"/>
          </w:rPr>
          <w:t xml:space="preserve">Figure 1.22</w:t>
        </w:r>
      </w:hyperlink>
      <w:r>
        <w:t xml:space="preserve">. Ce travail pourrait être fait avec les outils d’annotations d’image d’Omeka S mais cela dépasse le cadre de cette HDR.</w:t>
      </w:r>
    </w:p>
    <w:tbl>
      <w:tblPr>
        <w:tblStyle w:val="Table"/>
        <w:tblW w:type="pct" w:w="5000"/>
        <w:tblLook w:firstRow="0" w:lastRow="0" w:firstColumn="0" w:lastColumn="0" w:noHBand="0" w:noVBand="0" w:val="0000"/>
        <w:jc w:val="start"/>
        <w:tblLayout w:type="fixed"/>
      </w:tblPr>
      <w:tblGrid>
        <w:gridCol w:w="7920"/>
      </w:tblGrid>
      <w:tr>
        <w:tc>
          <w:tcPr/>
          <w:bookmarkStart w:id="224" w:name="fig-annotationsLivre"/>
          <w:p>
            <w:pPr>
              <w:pStyle w:val="Compact"/>
              <w:jc w:val="center"/>
            </w:pPr>
            <w:r>
              <w:drawing>
                <wp:inline>
                  <wp:extent cx="5334000" cy="4194256"/>
                  <wp:effectExtent b="0" l="0" r="0" t="0"/>
                  <wp:docPr descr="" title="" id="222" name="Picture"/>
                  <a:graphic>
                    <a:graphicData uri="http://schemas.openxmlformats.org/drawingml/2006/picture">
                      <pic:pic>
                        <pic:nvPicPr>
                          <pic:cNvPr descr="images/annotationsLivre.jpeg" id="223" name="Picture"/>
                          <pic:cNvPicPr>
                            <a:picLocks noChangeArrowheads="1" noChangeAspect="1"/>
                          </pic:cNvPicPr>
                        </pic:nvPicPr>
                        <pic:blipFill>
                          <a:blip r:embed="rId221"/>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Annotations d’un livre</w:t>
            </w:r>
          </w:p>
          <w:bookmarkEnd w:id="224"/>
        </w:tc>
      </w:tr>
    </w:tbl>
    <w:p>
      <w:pPr>
        <w:pStyle w:val="BodyText"/>
      </w:pPr>
      <w:r>
        <w:t xml:space="preserve">Même si ce diagramme n’est pas exhaustif, il montre les personnes les plus importantes de mon parcours intellectuel. Ces personnes ne sont pas toutes spécialistes des sciences de l’informations et de la communication mais m’ont apportés des notions éclairantes pour mon travail de recherche. Je pense notamment à Gilles Deleuze que je lis depuis une trentaine d’années et que j’écoute régulièrement</w:t>
      </w:r>
    </w:p>
    <w:bookmarkEnd w:id="225"/>
    <w:bookmarkEnd w:id="226"/>
    <w:bookmarkStart w:id="457" w:name="sec-principesCarto"/>
    <w:p>
      <w:pPr>
        <w:pStyle w:val="Heading1"/>
      </w:pPr>
      <w:r>
        <w:t xml:space="preserve">2. Principes de cartographie des connaissances</w:t>
      </w:r>
    </w:p>
    <w:bookmarkStart w:id="227"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227"/>
    <w:bookmarkStart w:id="228"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228"/>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1</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 plasticité du numérique permettrait sans doute de montrer ces idées suivant des modes de représentation propres à chacun de ces auteurs afin de les comparer ou des les utiliser pour un design de connaissance spécifique. Nous avons fait ce travail dans les lignes suivantes pour construire notre design des connaissance à partir d’idées dont la plasticités nous semble particulièrement fertile.</w:t>
      </w:r>
    </w:p>
    <w:p>
      <w:pPr>
        <w:pStyle w:val="BodyText"/>
      </w:pPr>
      <w:r>
        <w:t xml:space="preserve">Le premier principe sur laquelle nous nous appuyons est celui que les connaissances se produisent suivant un cycle continu d’expériences dans le monde physique et dans le monde de la pensée. Entre les « physicalités » et les « intériorités »</w:t>
      </w:r>
      <w:r>
        <w:t xml:space="preserve"> </w:t>
      </w:r>
      <w:r>
        <w:t xml:space="preserve">(Philippe. Descola, 2005)</w:t>
      </w:r>
      <w:r>
        <w:t xml:space="preserve"> </w:t>
      </w:r>
      <w:r>
        <w:t xml:space="preserve">, les « cycles de sémioses »</w:t>
      </w:r>
      <w:r>
        <w:t xml:space="preserve"> </w:t>
      </w:r>
      <w:r>
        <w:t xml:space="preserve">(µ et al., 2015a)</w:t>
      </w:r>
      <w:r>
        <w:t xml:space="preserve">  canalisent nos perceptions par « anasémiose » pour discerner des informations que nous communiquons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232" w:name="fig-cyclesemiose"/>
          <w:p>
            <w:pPr>
              <w:pStyle w:val="Compact"/>
              <w:jc w:val="center"/>
            </w:pPr>
            <w:r>
              <w:drawing>
                <wp:inline>
                  <wp:extent cx="3547799" cy="2212199"/>
                  <wp:effectExtent b="0" l="0" r="0" t="0"/>
                  <wp:docPr descr="" title="" id="230" name="Picture"/>
                  <a:graphic>
                    <a:graphicData uri="http://schemas.openxmlformats.org/drawingml/2006/picture">
                      <pic:pic>
                        <pic:nvPicPr>
                          <pic:cNvPr descr="media/100000010000048C000002D6F38927B016A358A1.png" id="231" name="Picture"/>
                          <pic:cNvPicPr>
                            <a:picLocks noChangeArrowheads="1" noChangeAspect="1"/>
                          </pic:cNvPicPr>
                        </pic:nvPicPr>
                        <pic:blipFill>
                          <a:blip r:embed="rId229"/>
                          <a:stretch>
                            <a:fillRect/>
                          </a:stretch>
                        </pic:blipFill>
                        <pic:spPr bwMode="auto">
                          <a:xfrm>
                            <a:off x="0" y="0"/>
                            <a:ext cx="3547799" cy="2212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Cycle de la sémiose</w:t>
            </w:r>
            <w:r>
              <w:t xml:space="preserve"> </w:t>
            </w:r>
            <w:r>
              <w:t xml:space="preserve">(µ et al., 2015a, p. 10)</w:t>
            </w:r>
          </w:p>
          <w:bookmarkEnd w:id="232"/>
        </w:tc>
      </w:tr>
    </w:tbl>
    <w:p>
      <w:pPr>
        <w:pStyle w:val="BodyText"/>
      </w:pPr>
      <w:r>
        <w:t xml:space="preserve">Le second principe se base sur les travaux de</w:t>
      </w:r>
      <w:r>
        <w:t xml:space="preserve"> </w:t>
      </w:r>
      <w:r>
        <w:t xml:space="preserve">(Hofstadter &amp; Sander, 2013)</w:t>
      </w:r>
      <w:r>
        <w:t xml:space="preserve"> </w:t>
      </w:r>
      <w:r>
        <w:t xml:space="preserve">pour qui l’analogie est le « moteur » qui relie le discernement et l’action en gardant le souvenir de cette relation qui devient à force de répétition, une manière d’être en prenant chez Deleuze la forme d’un « pli » qui est notre troisième principe  :</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A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la « raison trajective » que nous prenons comme quatrième principe :</w:t>
      </w:r>
    </w:p>
    <w:p>
      <w:pPr>
        <w:pStyle w:val="BlockText"/>
      </w:pPr>
      <w:r>
        <w:t xml:space="preserve">« la raison trajective, elle est en effet dans la pulsation existentielle qui, par la technique, déploie notre corps en monde sur la terre, et qui simultanément, par le symbole, reploie le monde en notre chair  »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Elle procède de processus que nous contrôlons consciemment et d’autres plus imprévisibles et incontrôlables qui se produisent en fonction d’une multitudes de pliages et de leurs capacités à ce faire, ce défaire, ce bloquer suivant un cinquième principe celui du degrés de flexibilité</w:t>
      </w:r>
      <w:r>
        <w:t xml:space="preserve"> </w:t>
      </w:r>
      <w:r>
        <w:t xml:space="preserve">(Clément, 2021)</w:t>
      </w:r>
      <w:r>
        <w:t xml:space="preserve">.</w:t>
      </w:r>
    </w:p>
    <w:p>
      <w:pPr>
        <w:pStyle w:val="BodyText"/>
      </w:pPr>
      <w:r>
        <w:t xml:space="preserve">Les cycles de sémioses, les analogies, les plis, les pulsations existentielles, les degrés de flexibilité structurent et produisent nos connaissances tout au long de nos vies en développant trois pouvoirs fondamentaux : discerner, raisonner, agir. Notre hypothèse principale est qu’il est possible de cartographier ces connaissances en représentant les pliages et leurs dynamismes dans trois directions : vers l’intériorité (discerner), en boucles récursives (raisonner) et vers l’extérieur (agir). À chaque pulsation existentielle, à chaque événement de nos vies, à chaque pli, ces pouvoirs augmentent ou diminuent accentuant ainsi des rapports privilégiés, d’autres, plus secrets, et même certains qui nous restent inconnus. De ce point de vue, nous n’adoptons pas la conjecture au cœur des recherches en IA depuis 1955, formulée à l’occasion de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w:t>
      </w:r>
    </w:p>
    <w:p>
      <w:pPr>
        <w:pStyle w:val="BodyText"/>
      </w:pPr>
      <w:r>
        <w:t xml:space="preserve">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choisir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236" w:name="fig-dynamiquesPulsationsExistentielles"/>
          <w:p>
            <w:pPr>
              <w:pStyle w:val="Compact"/>
              <w:jc w:val="center"/>
            </w:pPr>
            <w:r>
              <w:drawing>
                <wp:inline>
                  <wp:extent cx="5334000" cy="4608675"/>
                  <wp:effectExtent b="0" l="0" r="0" t="0"/>
                  <wp:docPr descr="" title="" id="234" name="Picture"/>
                  <a:graphic>
                    <a:graphicData uri="http://schemas.openxmlformats.org/drawingml/2006/picture">
                      <pic:pic>
                        <pic:nvPicPr>
                          <pic:cNvPr descr="images/localhost_samszo_HDR_pulsationsExistentielles.html.png" id="235" name="Picture"/>
                          <pic:cNvPicPr>
                            <a:picLocks noChangeArrowheads="1" noChangeAspect="1"/>
                          </pic:cNvPicPr>
                        </pic:nvPicPr>
                        <pic:blipFill>
                          <a:blip r:embed="rId233"/>
                          <a:stretch>
                            <a:fillRect/>
                          </a:stretch>
                        </pic:blipFill>
                        <pic:spPr bwMode="auto">
                          <a:xfrm>
                            <a:off x="0" y="0"/>
                            <a:ext cx="5334000" cy="460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Dynamiques pulsations existentielles</w:t>
            </w:r>
          </w:p>
          <w:bookmarkEnd w:id="236"/>
        </w:tc>
      </w:tr>
    </w:tbl>
    <w:p>
      <w:pPr>
        <w:pStyle w:val="BodyText"/>
      </w:pPr>
      <w:r>
        <w:t xml:space="preserve">Les chapitres suivants explicitent comment à partir de ces cinq principes et de cette hypothèse principale, nous cartographions dans le Web</w:t>
      </w:r>
      <w:r>
        <w:t xml:space="preserve"> </w:t>
      </w:r>
      <w:hyperlink w:anchor="sec-cartoEnvWeb">
        <w:r>
          <w:rPr>
            <w:rStyle w:val="Hyperlink"/>
          </w:rPr>
          <w:t xml:space="preserve">Section 2.1</w:t>
        </w:r>
      </w:hyperlink>
      <w:r>
        <w:t xml:space="preserve"> </w:t>
      </w:r>
      <w:r>
        <w:t xml:space="preserve">des connaissances qui se développent dans l’espace et le temps</w:t>
      </w:r>
      <w:r>
        <w:t xml:space="preserve"> </w:t>
      </w:r>
      <w:hyperlink w:anchor="sec-repSpatioTempo">
        <w:r>
          <w:rPr>
            <w:rStyle w:val="Hyperlink"/>
          </w:rPr>
          <w:t xml:space="preserve">Section 2.2</w:t>
        </w:r>
      </w:hyperlink>
      <w:r>
        <w:t xml:space="preserve"> </w:t>
      </w:r>
      <w:r>
        <w:t xml:space="preserve">suivant les pulsations existentielles d’un actant</w:t>
      </w:r>
      <w:r>
        <w:t xml:space="preserve"> </w:t>
      </w:r>
      <w:hyperlink w:anchor="sec-espaceActant">
        <w:r>
          <w:rPr>
            <w:rStyle w:val="Hyperlink"/>
          </w:rPr>
          <w:t xml:space="preserve">Section 2.5</w:t>
        </w:r>
      </w:hyperlink>
      <w:r>
        <w:t xml:space="preserve"> </w:t>
      </w:r>
      <w:r>
        <w:t xml:space="preserve">entre des espaces matériels</w:t>
      </w:r>
      <w:r>
        <w:t xml:space="preserve"> </w:t>
      </w:r>
      <w:hyperlink w:anchor="sec-espaceMateriels">
        <w:r>
          <w:rPr>
            <w:rStyle w:val="Hyperlink"/>
          </w:rPr>
          <w:t xml:space="preserve">Section 2.3</w:t>
        </w:r>
      </w:hyperlink>
      <w:r>
        <w:t xml:space="preserve"> </w:t>
      </w:r>
      <w:r>
        <w:t xml:space="preserve">et conceptuels</w:t>
      </w:r>
      <w:r>
        <w:t xml:space="preserve"> </w:t>
      </w:r>
      <w:hyperlink w:anchor="sec-espaceConceptuels">
        <w:r>
          <w:rPr>
            <w:rStyle w:val="Hyperlink"/>
          </w:rPr>
          <w:t xml:space="preserve">Section 2.4</w:t>
        </w:r>
      </w:hyperlink>
      <w:r>
        <w:t xml:space="preserve">. Ces propositions sont le résultat d’un travail de recherche d’une dizaine d’années que nous présentons en détails dans</w:t>
      </w:r>
      <w:r>
        <w:t xml:space="preserve"> </w:t>
      </w:r>
      <w:r>
        <w:rPr>
          <w:bCs/>
          <w:b/>
        </w:rPr>
        <w:t xml:space="preserve">?@sec-part-modeliserConnaissances</w:t>
      </w:r>
      <w:r>
        <w:t xml:space="preserve">.</w:t>
      </w:r>
    </w:p>
    <w:bookmarkStart w:id="283" w:name="sec-cartoEnvWeb"/>
    <w:p>
      <w:pPr>
        <w:pStyle w:val="Heading2"/>
      </w:pPr>
      <w:r>
        <w:t xml:space="preserve">2.1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237"/>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2" w:name="fig-ArchitectureClientServeur"/>
          <w:p>
            <w:pPr>
              <w:pStyle w:val="Compact"/>
              <w:jc w:val="center"/>
            </w:pPr>
            <w:r>
              <w:drawing>
                <wp:inline>
                  <wp:extent cx="2976839" cy="2251079"/>
                  <wp:effectExtent b="0" l="0" r="0" t="0"/>
                  <wp:docPr descr="" title="" id="240" name="Picture"/>
                  <a:graphic>
                    <a:graphicData uri="http://schemas.openxmlformats.org/drawingml/2006/picture">
                      <pic:pic>
                        <pic:nvPicPr>
                          <pic:cNvPr descr="media/1000000100000708000005788D09F0CE68E86891.png" id="241" name="Picture"/>
                          <pic:cNvPicPr>
                            <a:picLocks noChangeArrowheads="1" noChangeAspect="1"/>
                          </pic:cNvPicPr>
                        </pic:nvPicPr>
                        <pic:blipFill>
                          <a:blip r:embed="rId239"/>
                          <a:stretch>
                            <a:fillRect/>
                          </a:stretch>
                        </pic:blipFill>
                        <pic:spPr bwMode="auto">
                          <a:xfrm>
                            <a:off x="0" y="0"/>
                            <a:ext cx="2976839" cy="2251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Architecture Client / Serveur</w:t>
            </w:r>
          </w:p>
          <w:bookmarkEnd w:id="242"/>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243"/>
      </w:r>
      <w:r>
        <w:t xml:space="preserve"> </w:t>
      </w:r>
      <w:r>
        <w:t xml:space="preserve">mais uniquement les plus pertinents pour comprendre les principes de cartographie que nous avons mis en place dans ce travail pour gérer les données du coté serveur et naviguer dans leurs représentations du coté client.</w:t>
      </w:r>
    </w:p>
    <w:bookmarkStart w:id="265" w:name="sec-gestDonneesServeurs"/>
    <w:p>
      <w:pPr>
        <w:pStyle w:val="Heading3"/>
      </w:pPr>
      <w:r>
        <w:t xml:space="preserve">2.1.1 Gérer les données sur les serveurs</w:t>
      </w:r>
    </w:p>
    <w:p>
      <w:pPr>
        <w:pStyle w:val="FirstParagraph"/>
      </w:pPr>
      <w:r>
        <w:t xml:space="preserve">Les serveurs sont des machines qui fournissent des ressources via une requête spécifique sur une adresse unique dans un environnement Web. Le protocole HTTP définie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245"/>
      </w:r>
      <w:r>
        <w:t xml:space="preserve">. Cette solution de gestion des archives numériques offrent les fonctionnalités nécessaires pour modéliser une base de données spécifique respectant les principes du Linked Open Data</w:t>
      </w:r>
      <w:r>
        <w:rPr>
          <w:rStyle w:val="FootnoteReference"/>
        </w:rPr>
        <w:footnoteReference w:id="247"/>
      </w:r>
      <w:r>
        <w:t xml:space="preserve"> </w:t>
      </w:r>
      <w:r>
        <w:t xml:space="preserve">et les moyens de manipuler ces données avec des vocabulaires, des modèles de ressource, des modules et des thèmes spécifiques. Une fois maîtrisé les éléments de cet environnement, les données produites par les recherches deviennent accessibles, manipulables et interopérables</w:t>
      </w:r>
      <w:r>
        <w:rPr>
          <w:rStyle w:val="FootnoteReference"/>
        </w:rPr>
        <w:footnoteReference w:id="249"/>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projets de recherche et d’enseignement qui nécessitent de manipuler des données, nous avons développé des environnements Omeka S avec le cas échéant des modules et des thèmes spécifiques</w:t>
      </w:r>
      <w:r>
        <w:t xml:space="preserve"> </w:t>
      </w:r>
      <w:hyperlink w:anchor="sec-pratiquesOmk">
        <w:r>
          <w:rPr>
            <w:rStyle w:val="Hyperlink"/>
          </w:rPr>
          <w:t xml:space="preserve">Section 9.1.4</w:t>
        </w:r>
      </w:hyperlink>
      <w:r>
        <w:t xml:space="preserve">.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Section 1.3</w:t>
        </w:r>
      </w:hyperlink>
      <w:r>
        <w:t xml:space="preserve">.</w:t>
      </w:r>
    </w:p>
    <w:p>
      <w:pPr>
        <w:pStyle w:val="BodyText"/>
      </w:pPr>
      <w:r>
        <w:t xml:space="preserve">Pour ce faire, nous avons créé :</w:t>
      </w:r>
    </w:p>
    <w:p>
      <w:pPr>
        <w:numPr>
          <w:ilvl w:val="0"/>
          <w:numId w:val="1015"/>
        </w:numPr>
      </w:pPr>
      <w:r>
        <w:t xml:space="preserve">2 vocabulaires spécifiques :</w:t>
      </w:r>
    </w:p>
    <w:p>
      <w:pPr>
        <w:numPr>
          <w:ilvl w:val="1"/>
          <w:numId w:val="1016"/>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251"/>
      </w:r>
    </w:p>
    <w:p>
      <w:pPr>
        <w:numPr>
          <w:ilvl w:val="1"/>
          <w:numId w:val="1016"/>
        </w:numPr>
        <w:pStyle w:val="Compact"/>
      </w:pPr>
      <w:r>
        <w:t xml:space="preserve">Formation Université Paris 8 : ce vocabulaire permet de modéliser l’architecture des enseignements dans l’enseignement supérieur</w:t>
      </w:r>
      <w:r>
        <w:rPr>
          <w:rStyle w:val="FootnoteReference"/>
        </w:rPr>
        <w:footnoteReference w:id="253"/>
      </w:r>
    </w:p>
    <w:p>
      <w:pPr>
        <w:numPr>
          <w:ilvl w:val="0"/>
          <w:numId w:val="1015"/>
        </w:numPr>
      </w:pPr>
      <w:r>
        <w:t xml:space="preserve">30 modèles de ressource</w:t>
      </w:r>
      <w:r>
        <w:rPr>
          <w:rStyle w:val="FootnoteReference"/>
        </w:rPr>
        <w:footnoteReference w:id="255"/>
      </w:r>
      <w:r>
        <w:t xml:space="preserve"> </w:t>
      </w:r>
      <w:r>
        <w:t xml:space="preserve">pour décrire les objets de recherche par exemple :</w:t>
      </w:r>
    </w:p>
    <w:p>
      <w:pPr>
        <w:numPr>
          <w:ilvl w:val="1"/>
          <w:numId w:val="1017"/>
        </w:numPr>
        <w:pStyle w:val="Compact"/>
      </w:pPr>
      <w:r>
        <w:t xml:space="preserve">Évènement CV : utilisé pour décrire les événements d’un curriculum vitae</w:t>
      </w:r>
    </w:p>
    <w:p>
      <w:pPr>
        <w:numPr>
          <w:ilvl w:val="1"/>
          <w:numId w:val="1017"/>
        </w:numPr>
        <w:pStyle w:val="Compact"/>
      </w:pPr>
      <w:r>
        <w:t xml:space="preserve">JDC Actant : utilisé pour décrire un actant dans un écosystème de connaissances</w:t>
      </w:r>
    </w:p>
    <w:p>
      <w:pPr>
        <w:numPr>
          <w:ilvl w:val="0"/>
          <w:numId w:val="1015"/>
        </w:numPr>
      </w:pPr>
      <w:r>
        <w:t xml:space="preserve">4 modules spécifiques pour une gestion spécifique des données dans Omeka S:</w:t>
      </w:r>
    </w:p>
    <w:p>
      <w:pPr>
        <w:numPr>
          <w:ilvl w:val="1"/>
          <w:numId w:val="1018"/>
        </w:numPr>
        <w:pStyle w:val="Compact"/>
      </w:pPr>
      <w:r>
        <w:t xml:space="preserve">Diigo Import : ce module permet d’importer les signets enregistrés dans une base de données Diigo y compris les copies d’écrans</w:t>
      </w:r>
      <w:r>
        <w:rPr>
          <w:rStyle w:val="FootnoteReference"/>
        </w:rPr>
        <w:footnoteReference w:id="257"/>
      </w:r>
      <w:r>
        <w:t xml:space="preserve">.</w:t>
      </w:r>
    </w:p>
    <w:p>
      <w:pPr>
        <w:numPr>
          <w:ilvl w:val="1"/>
          <w:numId w:val="1018"/>
        </w:numPr>
        <w:pStyle w:val="Compact"/>
      </w:pPr>
      <w:r>
        <w:t xml:space="preserve">Zotero Import Plus : ce module</w:t>
      </w:r>
      <w:r>
        <w:rPr>
          <w:rStyle w:val="FootnoteReference"/>
        </w:rPr>
        <w:footnoteReference w:id="259"/>
      </w:r>
      <w:r>
        <w:t xml:space="preserve"> </w:t>
      </w:r>
      <w:r>
        <w:t xml:space="preserve">basé augmente le module Zotero Import pour importer les notes prises dans Zotero ainsi que les documents associés aux références bibliographiques.</w:t>
      </w:r>
    </w:p>
    <w:p>
      <w:pPr>
        <w:numPr>
          <w:ilvl w:val="1"/>
          <w:numId w:val="1018"/>
        </w:numPr>
        <w:pStyle w:val="Compact"/>
      </w:pPr>
      <w:r>
        <w:t xml:space="preserve">JDC : ce module</w:t>
      </w:r>
      <w:r>
        <w:rPr>
          <w:rStyle w:val="FootnoteReference"/>
        </w:rPr>
        <w:footnoteReference w:id="261"/>
      </w:r>
      <w:r>
        <w:t xml:space="preserve"> </w:t>
      </w:r>
      <w:r>
        <w:t xml:space="preserve">fourni les interfaces nécessaires pour modéliser un écosystème de connaissances suivant une ontologie éthique</w:t>
      </w:r>
      <w:r>
        <w:t xml:space="preserve"> </w:t>
      </w:r>
      <w:hyperlink w:anchor="sec-modeleOntoEthique">
        <w:r>
          <w:rPr>
            <w:rStyle w:val="Hyperlink"/>
          </w:rPr>
          <w:t xml:space="preserve">Section 5.0.2</w:t>
        </w:r>
      </w:hyperlink>
      <w:r>
        <w:t xml:space="preserve">.</w:t>
      </w:r>
    </w:p>
    <w:p>
      <w:pPr>
        <w:numPr>
          <w:ilvl w:val="1"/>
          <w:numId w:val="1018"/>
        </w:numPr>
        <w:pStyle w:val="Compact"/>
      </w:pPr>
      <w:r>
        <w:t xml:space="preserve">CartoAffect : ce module</w:t>
      </w:r>
      <w:r>
        <w:rPr>
          <w:rStyle w:val="FootnoteReference"/>
        </w:rPr>
        <w:footnoteReference w:id="263"/>
      </w:r>
      <w:r>
        <w:t xml:space="preserve"> </w:t>
      </w:r>
      <w:r>
        <w:t xml:space="preserve">permet de gérer les données pour la modélisation et la présentation des affects en relation avec un écosystème de connaissances.</w:t>
      </w:r>
    </w:p>
    <w:bookmarkEnd w:id="265"/>
    <w:bookmarkStart w:id="282" w:name="sec-naviguerRepresentations"/>
    <w:p>
      <w:pPr>
        <w:pStyle w:val="Heading3"/>
      </w:pPr>
      <w:r>
        <w:t xml:space="preserve">2.1.2 Naviguer dans les représentations</w:t>
      </w:r>
    </w:p>
    <w:p>
      <w:pPr>
        <w:pStyle w:val="FirstParagraph"/>
      </w:pPr>
      <w:r>
        <w:t xml:space="preserve">La consultations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r>
        <w:t xml:space="preserve"> </w:t>
      </w:r>
      <w:hyperlink w:anchor="fig-coor2D">
        <w:r>
          <w:rPr>
            <w:rStyle w:val="Hyperlink"/>
          </w:rPr>
          <w:t xml:space="preserve">Figure 2.4</w:t>
        </w:r>
      </w:hyperlink>
      <w:r>
        <w:t xml:space="preserve">) ou 3 dimensions (</w:t>
      </w:r>
      <w:hyperlink w:anchor="fig-coor2D">
        <w:r>
          <w:rPr>
            <w:rStyle w:val="Hyperlink"/>
          </w:rPr>
          <w:t xml:space="preserve">Figure 2.4</w:t>
        </w:r>
      </w:hyperlink>
      <w:r>
        <w:t xml:space="preserve"> </w:t>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w:t>
      </w:r>
      <w:r>
        <w:rPr>
          <w:bCs/>
          <w:b/>
        </w:rPr>
        <w:t xml:space="preserve">?@sec-pulsaExi3D</w:t>
      </w:r>
      <w:r>
        <w:t xml:space="preserve">).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tbl>
      <w:tblPr>
        <w:tblStyle w:val="Table"/>
        <w:tblW w:type="pct" w:w="5000"/>
        <w:tblLook w:firstRow="0" w:lastRow="0" w:firstColumn="0" w:lastColumn="0" w:noHBand="0" w:noVBand="0" w:val="0000"/>
        <w:jc w:val="start"/>
        <w:tblLayout w:type="fixed"/>
      </w:tblPr>
      <w:tblGrid>
        <w:gridCol w:w="7920"/>
      </w:tblGrid>
      <w:tr>
        <w:tc>
          <w:tcPr/>
          <w:bookmarkStart w:id="271" w:name="fig-coor2D"/>
          <w:p>
            <w:pPr>
              <w:pStyle w:val="Compact"/>
              <w:jc w:val="center"/>
            </w:pPr>
            <w:hyperlink r:id="rId270">
              <w:r>
                <w:drawing>
                  <wp:inline>
                    <wp:extent cx="3800475" cy="3495675"/>
                    <wp:effectExtent b="0" l="0" r="0" t="0"/>
                    <wp:docPr descr="Coordonnées cartésiennes : planaires" title="" id="267" name="Picture"/>
                    <a:graphic>
                      <a:graphicData uri="http://schemas.openxmlformats.org/drawingml/2006/picture">
                        <pic:pic>
                          <pic:nvPicPr>
                            <pic:cNvPr descr="media/100019CC000029720000261A8EDA4DB42B40D384.svg" id="268" name="Picture"/>
                            <pic:cNvPicPr>
                              <a:picLocks noChangeArrowheads="1" noChangeAspect="1"/>
                            </pic:cNvPicPr>
                          </pic:nvPicPr>
                          <pic:blipFill>
                            <a:blip r:embed="rId269">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3800475" cy="349567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2.4: Coordonnées cartésiennes : planaires</w:t>
            </w:r>
          </w:p>
          <w:bookmarkEnd w:id="27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77" w:name="fig-coor3D"/>
          <w:p>
            <w:pPr>
              <w:pStyle w:val="Compact"/>
              <w:jc w:val="center"/>
            </w:pPr>
            <w:hyperlink r:id="rId276">
              <w:r>
                <w:drawing>
                  <wp:inline>
                    <wp:extent cx="4352925" cy="4314825"/>
                    <wp:effectExtent b="0" l="0" r="0" t="0"/>
                    <wp:docPr descr="Coordonnées cartésiennes : tridimensionnelles" title="" id="273" name="Picture"/>
                    <a:graphic>
                      <a:graphicData uri="http://schemas.openxmlformats.org/drawingml/2006/picture">
                        <pic:pic>
                          <pic:nvPicPr>
                            <pic:cNvPr descr="media/10003C4200002F5F00002EF5D54C4825D5249FE4.svg" id="274" name="Picture"/>
                            <pic:cNvPicPr>
                              <a:picLocks noChangeArrowheads="1" noChangeAspect="1"/>
                            </pic:cNvPicPr>
                          </pic:nvPicPr>
                          <pic:blipFill>
                            <a:blip r:embed="rId275">
                              <a:extLst>
                                <a:ext uri="{28A0092B-C50C-407E-A947-70E740481C1C}">
                                  <a14:useLocalDpi xmlns:a14="http://schemas.microsoft.com/office/drawing/2010/main" val="0"/>
                                </a:ext>
                                <a:ext uri="{96DAC541-7B7A-43D3-8B79-37D633B846F1}">
                                  <asvg:svgBlip xmlns:asvg="http://schemas.microsoft.com/office/drawing/2016/SVG/main" r:embed="rId272"/>
                                </a:ext>
                              </a:extLst>
                            </a:blip>
                            <a:stretch>
                              <a:fillRect/>
                            </a:stretch>
                          </pic:blipFill>
                          <pic:spPr bwMode="auto">
                            <a:xfrm>
                              <a:off x="0" y="0"/>
                              <a:ext cx="4352925" cy="431482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2.5: Coordonnées cartésiennes : tridimensionnelles</w:t>
            </w:r>
          </w:p>
          <w:bookmarkEnd w:id="277"/>
        </w:tc>
      </w:tr>
    </w:tbl>
    <w:p>
      <w:pPr>
        <w:pStyle w:val="BodyText"/>
      </w:pPr>
      <w:r>
        <w:t xml:space="preserve">Dans ce contexte d’écosystème graphique</w:t>
      </w:r>
      <w:r>
        <w:t xml:space="preserve"> </w:t>
      </w:r>
      <w:r>
        <w:t xml:space="preserve">(Aït-Touati et al.,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2021b)</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278"/>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 de propriétés graphiques, événementiels et informationnelles. Grâce à la librairie JavaScript D3.js</w:t>
      </w:r>
      <w:r>
        <w:rPr>
          <w:rStyle w:val="FootnoteReference"/>
        </w:rPr>
        <w:footnoteReference w:id="280"/>
      </w:r>
      <w:r>
        <w:t xml:space="preserve"> </w:t>
      </w:r>
      <w:r>
        <w:t xml:space="preserve">(Data Driven Document) nous pouvons gérer ces propriétés en pilotant les graphiques à partir des données ou à l’inverse les données à partir des graphiques.</w:t>
      </w:r>
    </w:p>
    <w:p>
      <w:pPr>
        <w:pStyle w:val="FirstParagraph"/>
      </w:pPr>
      <w:r>
        <w:t xml:space="preserve">Dans cette environnement Web très ouvert et fertile, les possibilités de dynamisme et d’interaction entre les données, les graphiques et leurs utilisateurs sont potentiellement infinies. Il convient donc de spécifier plus précisément les choix que nous avons fait pour cartographier nos connaissances.</w:t>
      </w:r>
    </w:p>
    <w:bookmarkEnd w:id="282"/>
    <w:bookmarkEnd w:id="283"/>
    <w:bookmarkStart w:id="322" w:name="sec-repSpatioTempo"/>
    <w:p>
      <w:pPr>
        <w:pStyle w:val="Heading2"/>
      </w:pPr>
      <w:r>
        <w:t xml:space="preserve">2.2 Représentations spatio-temporelles</w:t>
      </w:r>
    </w:p>
    <w:p>
      <w:pPr>
        <w:pStyle w:val="FirstParagraph"/>
      </w:pPr>
      <w:r>
        <w:t xml:space="preserve">Les premières informations à prendre en compte dans la cartographie des connaissances sont le temps et l’espace qui constituent une base fondamental de la recherche en sciences humaines : l’histoire et la géographie. Ce sont les données communes à toutes les analyses en sciences humaines  : quand ? Où ?</w:t>
      </w:r>
    </w:p>
    <w:bookmarkStart w:id="311" w:name="sec-cartoGeo"/>
    <w:p>
      <w:pPr>
        <w:pStyle w:val="Heading3"/>
      </w:pPr>
      <w:r>
        <w:t xml:space="preserve">2.2.1 Cartographier la géographie</w:t>
      </w:r>
    </w:p>
    <w:p>
      <w:pPr>
        <w:pStyle w:val="FirstParagraph"/>
      </w:pPr>
      <w:r>
        <w:t xml:space="preserve">Pour réfléchir sur ces informations les humains ont depuis longtemps développé des systèmes de représentations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combinaisons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284"/>
      </w:r>
      <w:r>
        <w:t xml:space="preserve">.</w:t>
      </w:r>
    </w:p>
    <w:p>
      <w:pPr>
        <w:pStyle w:val="FirstParagraph"/>
      </w:pPr>
      <w:r>
        <w:t xml:space="preserve">Sur notre Terre, les données spatiales sont définis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300" w:name="tbl-projGeo"/>
          <w:p>
            <w:pPr>
              <w:jc w:val="center"/>
            </w:pPr>
            <w:pPr>
              <w:jc w:val="start"/>
              <w:spacing w:before="200"/>
              <w:pStyle w:val="ImageCaption"/>
            </w:pPr>
            <w:r>
              <w:t xml:space="preserve">Table 2.1: Exemples de projections géographiques</w:t>
            </w:r>
            <w:r>
              <w:rPr>
                <w:rStyle w:val="FootnoteReference"/>
              </w:rPr>
              <w:footnoteReference w:id="286"/>
            </w:r>
          </w:p>
          <w:tbl>
            <w:tblPr>
              <w:tblStyle w:val="Table"/>
              <w:tblW w:type="pct" w:w="5000"/>
              <w:tblLook w:firstRow="0" w:lastRow="0" w:firstColumn="0" w:lastColumn="0" w:noHBand="0" w:noVBand="0" w:val="0000"/>
              <w:jc w:val="start"/>
              <w:tblLayout w:type="fixed"/>
            </w:tblPr>
            <w:tblGrid>
              <w:gridCol w:w="2628"/>
              <w:gridCol w:w="2628"/>
              <w:gridCol w:w="2662"/>
            </w:tblGrid>
            <w:tr>
              <w:tc>
                <w:tcPr/>
                <w:p>
                  <w:pPr>
                    <w:pStyle w:val="Compact"/>
                    <w:jc w:val="left"/>
                    <w:jc w:val="center"/>
                  </w:pPr>
                  <w:bookmarkStart w:id="291" w:name="fig-projBertin"/>
                  <w:r>
                    <w:drawing>
                      <wp:inline>
                        <wp:extent cx="5334000" cy="2778125"/>
                        <wp:effectExtent b="0" l="0" r="0" t="0"/>
                        <wp:docPr descr="Jacques Bertin’s 1953" title="" id="289" name="Picture"/>
                        <a:graphic>
                          <a:graphicData uri="http://schemas.openxmlformats.org/drawingml/2006/picture">
                            <pic:pic>
                              <pic:nvPicPr>
                                <pic:cNvPr descr="media/10000000000003C0000001F4F33DE5F8AECF42B5.png" id="290" name="Picture"/>
                                <pic:cNvPicPr>
                                  <a:picLocks noChangeArrowheads="1" noChangeAspect="1"/>
                                </pic:cNvPicPr>
                              </pic:nvPicPr>
                              <pic:blipFill>
                                <a:blip r:embed="rId288"/>
                                <a:stretch>
                                  <a:fillRect/>
                                </a:stretch>
                              </pic:blipFill>
                              <pic:spPr bwMode="auto">
                                <a:xfrm>
                                  <a:off x="0" y="0"/>
                                  <a:ext cx="5334000" cy="2778125"/>
                                </a:xfrm>
                                <a:prstGeom prst="rect">
                                  <a:avLst/>
                                </a:prstGeom>
                                <a:noFill/>
                                <a:ln w="9525">
                                  <a:noFill/>
                                  <a:headEnd/>
                                  <a:tailEnd/>
                                </a:ln>
                              </pic:spPr>
                            </pic:pic>
                          </a:graphicData>
                        </a:graphic>
                      </wp:inline>
                    </w:drawing>
                  </w:r>
                  <w:bookmarkEnd w:id="291"/>
                </w:p>
              </w:tc>
              <w:tc>
                <w:tcPr/>
                <w:p>
                  <w:pPr>
                    <w:pStyle w:val="Compact"/>
                    <w:jc w:val="left"/>
                    <w:jc w:val="center"/>
                  </w:pPr>
                  <w:bookmarkStart w:id="295" w:name="fig-projHammer"/>
                  <w:r>
                    <w:drawing>
                      <wp:inline>
                        <wp:extent cx="5334000" cy="2778125"/>
                        <wp:effectExtent b="0" l="0" r="0" t="0"/>
                        <wp:docPr descr="Hammer retroazimuthal" title="" id="293" name="Picture"/>
                        <a:graphic>
                          <a:graphicData uri="http://schemas.openxmlformats.org/drawingml/2006/picture">
                            <pic:pic>
                              <pic:nvPicPr>
                                <pic:cNvPr descr="media/10000000000003C0000001F46900D5D2AB4D8E23.png" id="294" name="Picture"/>
                                <pic:cNvPicPr>
                                  <a:picLocks noChangeArrowheads="1" noChangeAspect="1"/>
                                </pic:cNvPicPr>
                              </pic:nvPicPr>
                              <pic:blipFill>
                                <a:blip r:embed="rId292"/>
                                <a:stretch>
                                  <a:fillRect/>
                                </a:stretch>
                              </pic:blipFill>
                              <pic:spPr bwMode="auto">
                                <a:xfrm>
                                  <a:off x="0" y="0"/>
                                  <a:ext cx="5334000" cy="2778125"/>
                                </a:xfrm>
                                <a:prstGeom prst="rect">
                                  <a:avLst/>
                                </a:prstGeom>
                                <a:noFill/>
                                <a:ln w="9525">
                                  <a:noFill/>
                                  <a:headEnd/>
                                  <a:tailEnd/>
                                </a:ln>
                              </pic:spPr>
                            </pic:pic>
                          </a:graphicData>
                        </a:graphic>
                      </wp:inline>
                    </w:drawing>
                  </w:r>
                  <w:bookmarkEnd w:id="295"/>
                </w:p>
              </w:tc>
              <w:tc>
                <w:tcPr/>
                <w:p>
                  <w:pPr>
                    <w:pStyle w:val="Compact"/>
                    <w:jc w:val="left"/>
                    <w:jc w:val="center"/>
                  </w:pPr>
                  <w:bookmarkStart w:id="299" w:name="fig-projSphereMercator"/>
                  <w:r>
                    <w:drawing>
                      <wp:inline>
                        <wp:extent cx="5334000" cy="2778125"/>
                        <wp:effectExtent b="0" l="0" r="0" t="0"/>
                        <wp:docPr descr="Spherical Mercator" title="" id="297" name="Picture"/>
                        <a:graphic>
                          <a:graphicData uri="http://schemas.openxmlformats.org/drawingml/2006/picture">
                            <pic:pic>
                              <pic:nvPicPr>
                                <pic:cNvPr descr="media/10000000000003C0000001F47F8100241BAEED66.png" id="298" name="Picture"/>
                                <pic:cNvPicPr>
                                  <a:picLocks noChangeArrowheads="1" noChangeAspect="1"/>
                                </pic:cNvPicPr>
                              </pic:nvPicPr>
                              <pic:blipFill>
                                <a:blip r:embed="rId296"/>
                                <a:stretch>
                                  <a:fillRect/>
                                </a:stretch>
                              </pic:blipFill>
                              <pic:spPr bwMode="auto">
                                <a:xfrm>
                                  <a:off x="0" y="0"/>
                                  <a:ext cx="5334000" cy="2778125"/>
                                </a:xfrm>
                                <a:prstGeom prst="rect">
                                  <a:avLst/>
                                </a:prstGeom>
                                <a:noFill/>
                                <a:ln w="9525">
                                  <a:noFill/>
                                  <a:headEnd/>
                                  <a:tailEnd/>
                                </a:ln>
                              </pic:spPr>
                            </pic:pic>
                          </a:graphicData>
                        </a:graphic>
                      </wp:inline>
                    </w:drawing>
                  </w:r>
                  <w:bookmarkEnd w:id="299"/>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300"/>
          <w:p/>
        </w:tc>
      </w:tr>
    </w:tbl>
    <w:p>
      <w:pPr>
        <w:pStyle w:val="BodyText"/>
      </w:pPr>
      <w:r>
        <w:t xml:space="preserve">Dans notre cas, pour concevoir des cartes géographique en deux dimensions nous utilisons des librairies JavaScript Open Source comme leaflet.js</w:t>
      </w:r>
      <w:r>
        <w:rPr>
          <w:rStyle w:val="FootnoteReference"/>
        </w:rPr>
        <w:footnoteReference w:id="301"/>
      </w:r>
      <w:r>
        <w:t xml:space="preserve"> </w:t>
      </w:r>
      <w:r>
        <w:t xml:space="preserve">ou D3.js qui permettent de manipuler des données géographiques modéliser avec le format GeoJSON</w:t>
      </w:r>
      <w:r>
        <w:rPr>
          <w:rStyle w:val="FootnoteReference"/>
        </w:rPr>
        <w:footnoteReference w:id="303"/>
      </w:r>
      <w:r>
        <w:t xml:space="preserve">. Voici par exemple la représentation géographique de mes collaborations dans le monde à partir de mes dépôts dans HAL</w:t>
      </w:r>
      <w:r>
        <w:rPr>
          <w:rStyle w:val="FootnoteReference"/>
        </w:rPr>
        <w:footnoteReference w:id="305"/>
      </w:r>
      <w:r>
        <w:t xml:space="preserve"> </w:t>
      </w:r>
      <w:r>
        <w:rPr>
          <w:bCs/>
          <w:b/>
        </w:rPr>
        <w:t xml:space="preserve">?@sec-datavizActiChercheur</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10" w:name="fig-collabMondeSamszo"/>
          <w:p>
            <w:pPr>
              <w:pStyle w:val="Compact"/>
              <w:jc w:val="center"/>
            </w:pPr>
            <w:r>
              <w:drawing>
                <wp:inline>
                  <wp:extent cx="2792131" cy="1397594"/>
                  <wp:effectExtent b="0" l="0" r="0" t="0"/>
                  <wp:docPr descr="" title="" id="308" name="Picture"/>
                  <a:graphic>
                    <a:graphicData uri="http://schemas.openxmlformats.org/drawingml/2006/picture">
                      <pic:pic>
                        <pic:nvPicPr>
                          <pic:cNvPr descr="media/1000000100000391000001C9A8374D4BE530A8B5.png" id="309" name="Picture"/>
                          <pic:cNvPicPr>
                            <a:picLocks noChangeArrowheads="1" noChangeAspect="1"/>
                          </pic:cNvPicPr>
                        </pic:nvPicPr>
                        <pic:blipFill>
                          <a:blip r:embed="rId307"/>
                          <a:stretch>
                            <a:fillRect/>
                          </a:stretch>
                        </pic:blipFill>
                        <pic:spPr bwMode="auto">
                          <a:xfrm>
                            <a:off x="0" y="0"/>
                            <a:ext cx="2792131" cy="13975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Répartition des collaborations dans le monde</w:t>
            </w:r>
          </w:p>
          <w:bookmarkEnd w:id="310"/>
        </w:tc>
      </w:tr>
    </w:tbl>
    <w:p>
      <w:pPr>
        <w:pStyle w:val="BodyText"/>
      </w:pPr>
      <w:r>
        <w:t xml:space="preserve">Cette carte montre les pays hors de la France où sont publiées mes textes scientifiques et les conférences auxquelles j’ai participées. Parallèlement aux données géographiques, la couleur des pays est proportionnelle au nombre de collaborations. Cette carte montre que mes collaborations se développent essentiellement avec des pays francophones et des pays de l’hémisphère nord.</w:t>
      </w:r>
    </w:p>
    <w:bookmarkEnd w:id="311"/>
    <w:bookmarkStart w:id="321" w:name="sec-cartoTempo"/>
    <w:p>
      <w:pPr>
        <w:pStyle w:val="Heading3"/>
      </w:pPr>
      <w:r>
        <w:t xml:space="preserve">2.2.2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 et parfois y lorsqu’elle est verticale. Dans notre enfance, nous avons tous réalisé des frises historiques, elles peuplent nos salles de classe et prolifèrent sur le Web</w:t>
      </w:r>
      <w:r>
        <w:rPr>
          <w:rStyle w:val="FootnoteReference"/>
        </w:rPr>
        <w:footnoteReference w:id="312"/>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317" w:name="fig-timelineCvSamszo"/>
          <w:p>
            <w:pPr>
              <w:pStyle w:val="Compact"/>
              <w:jc w:val="center"/>
            </w:pPr>
            <w:r>
              <w:drawing>
                <wp:inline>
                  <wp:extent cx="3932837" cy="1238568"/>
                  <wp:effectExtent b="0" l="0" r="0" t="0"/>
                  <wp:docPr descr="" title="" id="315" name="Picture"/>
                  <a:graphic>
                    <a:graphicData uri="http://schemas.openxmlformats.org/drawingml/2006/picture">
                      <pic:pic>
                        <pic:nvPicPr>
                          <pic:cNvPr descr="media/10000001000005060000019591922F8EA1A9F073.png" id="316" name="Picture"/>
                          <pic:cNvPicPr>
                            <a:picLocks noChangeArrowheads="1" noChangeAspect="1"/>
                          </pic:cNvPicPr>
                        </pic:nvPicPr>
                        <pic:blipFill>
                          <a:blip r:embed="rId314"/>
                          <a:stretch>
                            <a:fillRect/>
                          </a:stretch>
                        </pic:blipFill>
                        <pic:spPr bwMode="auto">
                          <a:xfrm>
                            <a:off x="0" y="0"/>
                            <a:ext cx="3932837" cy="12385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Timeline des activités d’enseignant chercheur</w:t>
            </w:r>
          </w:p>
          <w:bookmarkEnd w:id="317"/>
        </w:tc>
      </w:tr>
    </w:tbl>
    <w:p>
      <w:pPr>
        <w:pStyle w:val="BodyText"/>
      </w:pPr>
      <w:r>
        <w:t xml:space="preserve">Cette frise historique</w:t>
      </w:r>
      <w:r>
        <w:rPr>
          <w:rStyle w:val="FootnoteReference"/>
        </w:rPr>
        <w:footnoteReference w:id="318"/>
      </w:r>
      <w:r>
        <w:t xml:space="preserve"> </w:t>
      </w:r>
      <w:r>
        <w:t xml:space="preserve">montre l’évolution de mes activités d’enseignant chercheur suivant plusieurs types d’activité. Comme les outils Web de visualisation des cartes géographiques, cette visualisation fourni des fonctions de zoom, de déplacement et d’hypertextualité pour faciliter la lecture des données qui si elles sont trop détaillées, ne sont plus visibles. Là encore, la cartographie des connaissances dans le Web est conçu comme un outils de navigation dans les données.</w:t>
      </w:r>
    </w:p>
    <w:p>
      <w:pPr>
        <w:pStyle w:val="FirstParagraph"/>
      </w:pPr>
      <w:r>
        <w:t xml:space="preserve">Les connaissances sont toujours en rapport avec l’espace et le temps mais nous posons comme hypothèse qu’entre les connaissances des physicalités et celles des intériorités, entre l’étendu et la pensée, l’espace et le temps n’ont pas les même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319"/>
      </w:r>
      <w:r>
        <w:t xml:space="preserve"> </w:t>
      </w:r>
      <w:hyperlink w:anchor="sec-modeleOntoEthique">
        <w:r>
          <w:rPr>
            <w:rStyle w:val="Hyperlink"/>
          </w:rPr>
          <w:t xml:space="preserve">Section 5.0.2</w:t>
        </w:r>
      </w:hyperlink>
      <w:r>
        <w:t xml:space="preserve">. Examinons maintenant comment nous définissons de nouveaux principes cartographiques à partir de ces propositions.</w:t>
      </w:r>
    </w:p>
    <w:bookmarkEnd w:id="321"/>
    <w:bookmarkEnd w:id="322"/>
    <w:bookmarkStart w:id="349" w:name="sec-espaceMateriels"/>
    <w:p>
      <w:pPr>
        <w:pStyle w:val="Heading2"/>
      </w:pPr>
      <w:r>
        <w:t xml:space="preserve">2.3 Espaces matériels : connaissances des chocs</w:t>
      </w:r>
    </w:p>
    <w:p>
      <w:pPr>
        <w:pStyle w:val="FirstParagraph"/>
      </w:pPr>
      <w:r>
        <w:t xml:space="preserve">A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 même constitué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pour beaucoup à nous faire croire à la dématérialisation en simulant par exemple des univers immersifs où nous vivons d’autres actualités que celles de notre corps avec des avatars de toutes sortes</w:t>
      </w:r>
      <w:r>
        <w:t xml:space="preserve"> </w:t>
      </w:r>
      <w:r>
        <w:t xml:space="preserve">(Amato &amp; Perény, 2013)</w:t>
      </w:r>
      <w:r>
        <w:t xml:space="preserve">. Mais en dernière instance nous sommes matière et nous évoluons dans des espaces matériels. Sur ce point nous nous opposons au spiritualistes qui affirment « qu’il existe une substance spirituelle (l’âme ou l’esprit), indépendante de la matière, et qui serait, en l’homme, principe de vie ou d’action. »</w:t>
      </w:r>
      <w:r>
        <w:t xml:space="preserve"> </w:t>
      </w:r>
      <w:r>
        <w:t xml:space="preserve">(Comte-Sponville, 1998, sec. 12)</w:t>
      </w:r>
      <w:r>
        <w:t xml:space="preserve">.</w:t>
      </w:r>
    </w:p>
    <w:p>
      <w:pPr>
        <w:pStyle w:val="BodyText"/>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 p. 110)</w:t>
      </w:r>
    </w:p>
    <w:p>
      <w:pPr>
        <w:pStyle w:val="FirstParagraph"/>
      </w:pPr>
      <w:r>
        <w:t xml:space="preserve">Entre l’infiniment grand et l’infiniment petit (cf. illustration ci dessous)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p>
    <w:tbl>
      <w:tblPr>
        <w:tblStyle w:val="Table"/>
        <w:tblW w:type="pct" w:w="5000"/>
        <w:tblLook w:firstRow="0" w:lastRow="0" w:firstColumn="0" w:lastColumn="0" w:noHBand="0" w:noVBand="0" w:val="0000"/>
        <w:jc w:val="start"/>
        <w:tblLayout w:type="fixed"/>
      </w:tblPr>
      <w:tblGrid>
        <w:gridCol w:w="7920"/>
      </w:tblGrid>
      <w:tr>
        <w:tc>
          <w:tcPr/>
          <w:bookmarkStart w:id="326" w:name="fig-echelleUnivers"/>
          <w:p>
            <w:pPr>
              <w:pStyle w:val="Compact"/>
              <w:jc w:val="center"/>
            </w:pPr>
            <w:r>
              <w:drawing>
                <wp:inline>
                  <wp:extent cx="5334000" cy="4062363"/>
                  <wp:effectExtent b="0" l="0" r="0" t="0"/>
                  <wp:docPr descr="" title="" id="324" name="Picture"/>
                  <a:graphic>
                    <a:graphicData uri="http://schemas.openxmlformats.org/drawingml/2006/picture">
                      <pic:pic>
                        <pic:nvPicPr>
                          <pic:cNvPr descr="media/10000001000003080000024F28EEAE4E22F24B62.png" id="325" name="Picture"/>
                          <pic:cNvPicPr>
                            <a:picLocks noChangeArrowheads="1" noChangeAspect="1"/>
                          </pic:cNvPicPr>
                        </pic:nvPicPr>
                        <pic:blipFill>
                          <a:blip r:embed="rId323"/>
                          <a:stretch>
                            <a:fillRect/>
                          </a:stretch>
                        </pic:blipFill>
                        <pic:spPr bwMode="auto">
                          <a:xfrm>
                            <a:off x="0" y="0"/>
                            <a:ext cx="5334000" cy="40623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Échelle de l’univers - univers observable https://htwins.net/scale2/</w:t>
            </w:r>
          </w:p>
          <w:bookmarkEnd w:id="32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30" w:name="fig-echelleUniversPlank"/>
          <w:p>
            <w:pPr>
              <w:pStyle w:val="Compact"/>
              <w:jc w:val="center"/>
            </w:pPr>
            <w:r>
              <w:drawing>
                <wp:inline>
                  <wp:extent cx="5334000" cy="3208574"/>
                  <wp:effectExtent b="0" l="0" r="0" t="0"/>
                  <wp:docPr descr="" title="" id="328" name="Picture"/>
                  <a:graphic>
                    <a:graphicData uri="http://schemas.openxmlformats.org/drawingml/2006/picture">
                      <pic:pic>
                        <pic:nvPicPr>
                          <pic:cNvPr descr="media/100000010000030F000001D7889CE02FB9E347F3.png" id="329" name="Picture"/>
                          <pic:cNvPicPr>
                            <a:picLocks noChangeArrowheads="1" noChangeAspect="1"/>
                          </pic:cNvPicPr>
                        </pic:nvPicPr>
                        <pic:blipFill>
                          <a:blip r:embed="rId327"/>
                          <a:stretch>
                            <a:fillRect/>
                          </a:stretch>
                        </pic:blipFill>
                        <pic:spPr bwMode="auto">
                          <a:xfrm>
                            <a:off x="0" y="0"/>
                            <a:ext cx="5334000" cy="32085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Échelle de l’univers - limite de Plank https://htwins.net/scale2/</w:t>
            </w:r>
          </w:p>
          <w:bookmarkEnd w:id="330"/>
        </w:tc>
      </w:tr>
    </w:tbl>
    <w:p>
      <w:pPr>
        <w:pStyle w:val="BodyText"/>
      </w:pPr>
      <w:r>
        <w:t xml:space="preserve">Les parties extensives correspondent aux « physicalités » des milieux que nous habitons, elles en sont l’indispensable matérialité. Cette nécessité de la matière est corrélé à des connaissances, elles aussi nécessaires, celles du premier genre de connaissance :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 :</w:t>
      </w:r>
    </w:p>
    <w:tbl>
      <w:tblPr>
        <w:tblStyle w:val="Table"/>
        <w:tblW w:type="pct" w:w="5000"/>
        <w:tblLook w:firstRow="0" w:lastRow="0" w:firstColumn="0" w:lastColumn="0" w:noHBand="0" w:noVBand="0" w:val="0000"/>
        <w:jc w:val="start"/>
        <w:tblLayout w:type="fixed"/>
      </w:tblPr>
      <w:tblGrid>
        <w:gridCol w:w="7920"/>
      </w:tblGrid>
      <w:tr>
        <w:tc>
          <w:tcPr/>
          <w:bookmarkStart w:id="334" w:name="fig-partExt1"/>
          <w:p>
            <w:pPr>
              <w:pStyle w:val="Compact"/>
              <w:jc w:val="center"/>
            </w:pPr>
            <w:r>
              <w:drawing>
                <wp:inline>
                  <wp:extent cx="5334000" cy="510586"/>
                  <wp:effectExtent b="0" l="0" r="0" t="0"/>
                  <wp:docPr descr="" title="" id="332" name="Picture"/>
                  <a:graphic>
                    <a:graphicData uri="http://schemas.openxmlformats.org/drawingml/2006/picture">
                      <pic:pic>
                        <pic:nvPicPr>
                          <pic:cNvPr descr="media/10000001000001EB0000002F6C14D0CF44FAB1C7.png" id="333" name="Picture"/>
                          <pic:cNvPicPr>
                            <a:picLocks noChangeArrowheads="1" noChangeAspect="1"/>
                          </pic:cNvPicPr>
                        </pic:nvPicPr>
                        <pic:blipFill>
                          <a:blip r:embed="rId331"/>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Parties extensives 1</w:t>
            </w:r>
          </w:p>
          <w:bookmarkEnd w:id="334"/>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335"/>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2.11</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339" w:name="fig-partExt2"/>
          <w:p>
            <w:pPr>
              <w:pStyle w:val="Compact"/>
              <w:jc w:val="center"/>
            </w:pPr>
            <w:r>
              <w:drawing>
                <wp:inline>
                  <wp:extent cx="2095500" cy="647700"/>
                  <wp:effectExtent b="0" l="0" r="0" t="0"/>
                  <wp:docPr descr="" title="" id="337" name="Picture"/>
                  <a:graphic>
                    <a:graphicData uri="http://schemas.openxmlformats.org/drawingml/2006/picture">
                      <pic:pic>
                        <pic:nvPicPr>
                          <pic:cNvPr descr="media/10000001000000A500000033DA0B4C29741E4F62.png" id="338" name="Picture"/>
                          <pic:cNvPicPr>
                            <a:picLocks noChangeArrowheads="1" noChangeAspect="1"/>
                          </pic:cNvPicPr>
                        </pic:nvPicPr>
                        <pic:blipFill>
                          <a:blip r:embed="rId336"/>
                          <a:stretch>
                            <a:fillRect/>
                          </a:stretch>
                        </pic:blipFill>
                        <pic:spPr bwMode="auto">
                          <a:xfrm>
                            <a:off x="0" y="0"/>
                            <a:ext cx="2095500" cy="64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Parties extensives 2</w:t>
            </w:r>
          </w:p>
          <w:bookmarkEnd w:id="339"/>
        </w:tc>
      </w:tr>
    </w:tbl>
    <w:p>
      <w:pPr>
        <w:pStyle w:val="BodyText"/>
      </w:pPr>
      <w:r>
        <w:t xml:space="preserve">Notre principe de cartographie des espaces matériels consiste à les considérer uniquement en tant que physicalités composées de parties extensives modélisables par leurs propriétés physico-chimique : largeur, hauteur, profondeur, masse, couleur, atome, molécule… Par exemple, dans les espaces matériels un livre est considéré du point de vue de sa taille, son nombre de page, son poids, sa matière etc… Dans l’espace matériel, on ne prend pas en compte l’auteur ou la thématique du livre qui respectivement seront cartographiés comme actant (</w:t>
      </w:r>
      <w:hyperlink w:anchor="sec-espaceActant">
        <w:r>
          <w:rPr>
            <w:rStyle w:val="Hyperlink"/>
          </w:rPr>
          <w:t xml:space="preserve">Section 2.5</w:t>
        </w:r>
      </w:hyperlink>
      <w:r>
        <w:t xml:space="preserve">) et comme élément d’un espace conceptuel (</w:t>
      </w:r>
      <w:hyperlink w:anchor="sec-espaceConceptuels">
        <w:r>
          <w:rPr>
            <w:rStyle w:val="Hyperlink"/>
          </w:rPr>
          <w:t xml:space="preserve">Section 2.4</w:t>
        </w:r>
      </w:hyperlink>
      <w:r>
        <w:t xml:space="preserve">). Dans les espaces matériels les mots du livre sont des traces de couleur qui génère des connaissances de l’ordre des chocs ; c’est à 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hiérarchiques qui potentiellement se compose jusqu’aux limites de l’univers observable (</w:t>
      </w:r>
      <w:hyperlink w:anchor="fig-echelleUnivers">
        <w:r>
          <w:rPr>
            <w:rStyle w:val="Hyperlink"/>
          </w:rPr>
          <w:t xml:space="preserve">Figure 2.8</w:t>
        </w:r>
      </w:hyperlink>
      <w:r>
        <w:t xml:space="preserve">) et se décompose jusqu’à l’infiniment petit de l’échelle de Plank (</w:t>
      </w:r>
      <w:hyperlink w:anchor="fig-echelleUniversPlank">
        <w:r>
          <w:rPr>
            <w:rStyle w:val="Hyperlink"/>
          </w:rPr>
          <w:t xml:space="preserve">Figure 2.9</w:t>
        </w:r>
      </w:hyperlink>
      <w:r>
        <w:t xml:space="preserve">) en passant par l’échelle de l’être humain (</w:t>
      </w:r>
      <w:hyperlink w:anchor="fig-echelleHumain">
        <w:r>
          <w:rPr>
            <w:rStyle w:val="Hyperlink"/>
          </w:rPr>
          <w:t xml:space="preserve">Figure 2.12</w:t>
        </w:r>
      </w:hyperlink>
      <w:r>
        <w:t xml:space="preserve">). Nous verrons plus loin combien le choix de l’échelle cartographique est primordial (</w:t>
      </w:r>
      <w:r>
        <w:rPr>
          <w:bCs/>
          <w:b/>
        </w:rPr>
        <w:t xml:space="preserve">?@sec-illusionExhaustivite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3" w:name="fig-echelleHumain"/>
          <w:p>
            <w:pPr>
              <w:pStyle w:val="Compact"/>
              <w:jc w:val="center"/>
            </w:pPr>
            <w:r>
              <w:drawing>
                <wp:inline>
                  <wp:extent cx="5334000" cy="3662861"/>
                  <wp:effectExtent b="0" l="0" r="0" t="0"/>
                  <wp:docPr descr="" title="" id="341" name="Picture"/>
                  <a:graphic>
                    <a:graphicData uri="http://schemas.openxmlformats.org/drawingml/2006/picture">
                      <pic:pic>
                        <pic:nvPicPr>
                          <pic:cNvPr descr="media/100000010000030E00000219C3ED261C6D514C78.png" id="342" name="Picture"/>
                          <pic:cNvPicPr>
                            <a:picLocks noChangeArrowheads="1" noChangeAspect="1"/>
                          </pic:cNvPicPr>
                        </pic:nvPicPr>
                        <pic:blipFill>
                          <a:blip r:embed="rId340"/>
                          <a:stretch>
                            <a:fillRect/>
                          </a:stretch>
                        </pic:blipFill>
                        <pic:spPr bwMode="auto">
                          <a:xfrm>
                            <a:off x="0" y="0"/>
                            <a:ext cx="5334000" cy="3662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Échelle de l’univers - être humain</w:t>
            </w:r>
          </w:p>
          <w:bookmarkEnd w:id="343"/>
        </w:tc>
      </w:tr>
    </w:tbl>
    <w:p>
      <w:pPr>
        <w:pStyle w:val="BodyText"/>
      </w:pPr>
      <w:r>
        <w:t xml:space="preserve">Pour cartographier les espaces matériels en tant qu’ensemble des parties extensives définissables par leurs propriétés physico-chimique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 parties et dont la taille des rectangles est proportionnelle à la valeur numérique d’une propriété, par exemple le nombre d’éléments que contient la sous partie .</w:t>
      </w:r>
    </w:p>
    <w:p>
      <w:pPr>
        <w:pStyle w:val="BodyText"/>
      </w:pPr>
      <w:r>
        <w:t xml:space="preserve">En utilisant l’objet TreeMap</w:t>
      </w:r>
      <w:r>
        <w:rPr>
          <w:rStyle w:val="FootnoteReference"/>
        </w:rPr>
        <w:footnoteReference w:id="344"/>
      </w:r>
      <w:r>
        <w:t xml:space="preserve"> </w:t>
      </w:r>
      <w:r>
        <w:t xml:space="preserve">de la librairie D3.js, nous avons implémenté ce modèle de diagramme dans un module JavaScript (</w:t>
      </w:r>
      <w:hyperlink w:anchor="sec-jdcPhysiques">
        <w:r>
          <w:rPr>
            <w:rStyle w:val="Hyperlink"/>
          </w:rPr>
          <w:t xml:space="preserve">Section 9.1.4.2.4.2.1</w:t>
        </w:r>
      </w:hyperlink>
      <w:r>
        <w:t xml:space="preserve">)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348" w:name="fig-treeMapCv"/>
          <w:p>
            <w:pPr>
              <w:pStyle w:val="Compact"/>
              <w:jc w:val="center"/>
            </w:pPr>
            <w:r>
              <w:drawing>
                <wp:inline>
                  <wp:extent cx="5334000" cy="2876216"/>
                  <wp:effectExtent b="0" l="0" r="0" t="0"/>
                  <wp:docPr descr="" title="" id="346" name="Picture"/>
                  <a:graphic>
                    <a:graphicData uri="http://schemas.openxmlformats.org/drawingml/2006/picture">
                      <pic:pic>
                        <pic:nvPicPr>
                          <pic:cNvPr descr="media/1000000100000521000002C4F34D431EF036AFFE.png" id="347" name="Picture"/>
                          <pic:cNvPicPr>
                            <a:picLocks noChangeArrowheads="1" noChangeAspect="1"/>
                          </pic:cNvPicPr>
                        </pic:nvPicPr>
                        <pic:blipFill>
                          <a:blip r:embed="rId345"/>
                          <a:stretch>
                            <a:fillRect/>
                          </a:stretch>
                        </pic:blipFill>
                        <pic:spPr bwMode="auto">
                          <a:xfrm>
                            <a:off x="0" y="0"/>
                            <a:ext cx="5334000" cy="2876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Treemap d’un Curiculum Vitae</w:t>
            </w:r>
          </w:p>
          <w:bookmarkEnd w:id="348"/>
        </w:tc>
      </w:tr>
    </w:tbl>
    <w:p>
      <w:pPr>
        <w:pStyle w:val="BodyText"/>
      </w:pPr>
      <w:r>
        <w:t xml:space="preserve">Dans le cas de ce diagramme, la durée d’un événement cumule l’ensemble des durées des événements qui le compose ce qui explique une durée de plusieurs centaines d’année pour le CV. D’autre part, cette durée exprime une période de travail et ne prend pas en compte les activités parallèles à l’inverse de la frise historique (</w:t>
      </w:r>
      <w:hyperlink w:anchor="fig-timelineCvSamszo">
        <w:r>
          <w:rPr>
            <w:rStyle w:val="Hyperlink"/>
          </w:rPr>
          <w:t xml:space="preserve">Figure 2.7</w:t>
        </w:r>
      </w:hyperlink>
      <w:r>
        <w:t xml:space="preserve">).</w:t>
      </w:r>
    </w:p>
    <w:p>
      <w:pPr>
        <w:pStyle w:val="BodyText"/>
      </w:pPr>
      <w:r>
        <w:t xml:space="preserve">Dans les espaces matériels les connaissances sont des chocs qui ne dure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349"/>
    <w:bookmarkStart w:id="375" w:name="sec-espaceConceptuels"/>
    <w:p>
      <w:pPr>
        <w:pStyle w:val="Heading2"/>
      </w:pPr>
      <w:r>
        <w:t xml:space="preserve">2.4 Espaces conceptuels : connaissances des essences</w:t>
      </w:r>
    </w:p>
    <w:p>
      <w:pPr>
        <w:pStyle w:val="FirstParagraph"/>
      </w:pPr>
      <w:r>
        <w:t xml:space="preserve">A l’opposé des espaces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cartographier ces espaces de connaissances  ? Comment mesurer ces espaces ? Combien pèse une âme ?</w:t>
      </w:r>
    </w:p>
    <w:tbl>
      <w:tblPr>
        <w:tblStyle w:val="Table"/>
        <w:tblW w:type="pct" w:w="5000"/>
        <w:tblLook w:firstRow="0" w:lastRow="0" w:firstColumn="0" w:lastColumn="0" w:noHBand="0" w:noVBand="0" w:val="0000"/>
        <w:jc w:val="start"/>
        <w:tblLayout w:type="fixed"/>
      </w:tblPr>
      <w:tblGrid>
        <w:gridCol w:w="7920"/>
      </w:tblGrid>
      <w:tr>
        <w:tc>
          <w:tcPr/>
          <w:bookmarkStart w:id="353" w:name="fig-peseeAme"/>
          <w:p>
            <w:pPr>
              <w:pStyle w:val="Compact"/>
              <w:jc w:val="center"/>
            </w:pPr>
            <w:r>
              <w:drawing>
                <wp:inline>
                  <wp:extent cx="3779520" cy="5041392"/>
                  <wp:effectExtent b="0" l="0" r="0" t="0"/>
                  <wp:docPr descr="" title="" id="351" name="Picture"/>
                  <a:graphic>
                    <a:graphicData uri="http://schemas.openxmlformats.org/drawingml/2006/picture">
                      <pic:pic>
                        <pic:nvPicPr>
                          <pic:cNvPr descr="media/100000000000026C0000033BDE0C2A2E5F4A6C07.jpg" id="352" name="Picture"/>
                          <pic:cNvPicPr>
                            <a:picLocks noChangeArrowheads="1" noChangeAspect="1"/>
                          </pic:cNvPicPr>
                        </pic:nvPicPr>
                        <pic:blipFill>
                          <a:blip r:embed="rId350"/>
                          <a:stretch>
                            <a:fillRect/>
                          </a:stretch>
                        </pic:blipFill>
                        <pic:spPr bwMode="auto">
                          <a:xfrm>
                            <a:off x="0" y="0"/>
                            <a:ext cx="3779520" cy="50413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La pesée des âmes dans le retable polyptyque du Jugement Dernier de Rogier van der Weyden aux Hospices de Beaune, 1443-1452, https://commons.wikimedia.org/w/index.php?curid=6028656</w:t>
            </w:r>
          </w:p>
          <w:bookmarkEnd w:id="353"/>
        </w:tc>
      </w:tr>
    </w:tbl>
    <w:p>
      <w:pPr>
        <w:pStyle w:val="BodyText"/>
      </w:pPr>
      <w:r>
        <w:t xml:space="preserve">La question du poids des âmes se pose depuis longtemps comme en témoigne l’iconographie de la pesée des âmes. La psychostasie, nom donné à cette activité de la pesée des âmes, touche historiquement les domaines de la théologie, de la philosophie et de l’éthique mais intéresse aussi les sciences de l’information et de la communication qui cherchent notamment des réponses sur la mesure, l’analyse et la critique de ces espaces informationnels immatériels qui ne sont pas mesurables de la même manière qu’une planche de bois ou qu’une récolte de fruit car ils ne sont pas soumis aux règles physiques de la matérialité tant qu’ils ne sont pas exprimées. Dès le passage de ces espaces intérieurs vers une forme d’expression quelle qu’elle soit (écrit, parole, clic sur un bouton…), ils se transforment en physicalités dont on pourra mesurer les paramètres physiques (hauteur, largeur, vitesse…). Ne peut-on mesurer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Sans parler des connaissances mystiques qui n’existent que par le fait de les avoirs expérimenter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 en introduction de ce chapitre. Elles sont l’espace des élaborations sémiotiques qui transforment notre pouvoir de discernement en pouvoir d’agir. Mesurer les espaces conceptuels et avant tout un travail de réflexivité individuelle et de concentration sur cette dimension particulière de l’existence que nous ne pouvons explorer que dans la solitude de notre propre conscience. L’enjeu qui nous anime ici est de fournir aux explorateurs de ces espaces conceptuels des outils pour cartographier leurs explorations de manière à les rendre interopérable avec celles menées par d’autres.</w:t>
      </w:r>
    </w:p>
    <w:bookmarkStart w:id="357" w:name="sec-approcheTopologique"/>
    <w:p>
      <w:pPr>
        <w:pStyle w:val="Heading3"/>
      </w:pPr>
      <w:r>
        <w:t xml:space="preserve">2.4.1 Approches topologique de la cartographie des concepts</w:t>
      </w:r>
    </w:p>
    <w:p>
      <w:pPr>
        <w:pStyle w:val="FirstParagraph"/>
      </w:pPr>
      <w:r>
        <w:t xml:space="preserve">Dans le domaine des sciences cognitives, les espaces intérieurs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objectif la distance entre les concepts car celles-ci résultent d’une mesure physique. Mais de notre point vue, ces qualités font parties de la dimension matérielle que nous avons présentée plus haut (</w:t>
      </w:r>
      <w:hyperlink w:anchor="sec-espaceMateriels">
        <w:r>
          <w:rPr>
            <w:rStyle w:val="Hyperlink"/>
          </w:rPr>
          <w:t xml:space="preserve">Section 2.3</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5.0.2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2.5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définies suivant six concepts (être, signe, chose, actuel, virtuel, vide) associés à trois positions conceptuelles (substance, attribut, mode) sur six couches. Il en résulte un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354"/>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355"/>
      </w:r>
      <w:r>
        <w:t xml:space="preserve">. Cette solution de cartographie des espaces conceptuels est élégante et très ambitieuse mais elle se confronte à plusieurs difficultés majeures. La première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occasionne une nouvelle difficulté liée à l’économie du processus éditorial qui est déjà soumis à de forte pressions temporelles, financières et humaines. Une autre difficulté que nous avons expérimentée dans notre usage d’IEML depuis une dizaine d’années, est le manque de pérennité des outils mis à disposition pour gérer ce langage</w:t>
      </w:r>
      <w:r>
        <w:rPr>
          <w:rStyle w:val="FootnoteReference"/>
        </w:rPr>
        <w:footnoteReference w:id="356"/>
      </w:r>
      <w:r>
        <w:t xml:space="preserve">. Cette difficulté inhérente à un travail de recherche « in progress » mais plus généralement aux langages informatiques qui évoluent au fil de temps rend délicat l’investissement important et constant que nécessite l’utilisation d’IEML Au final, ce magnifique projet mené par Pierre Lévy rejoint sans doute la liste des langues parfaites</w:t>
      </w:r>
      <w:r>
        <w:t xml:space="preserve"> </w:t>
      </w:r>
      <w:r>
        <w:t xml:space="preserve">(Eco, 1994)</w:t>
      </w:r>
      <w:r>
        <w:t xml:space="preserve"> </w:t>
      </w:r>
      <w:r>
        <w:t xml:space="preserve">et contribue en tout cas à faire avancer l’utopie d’un dialogue plus fécond entre les humains grâce aux machines.</w:t>
      </w:r>
    </w:p>
    <w:bookmarkEnd w:id="357"/>
    <w:bookmarkStart w:id="358" w:name="sec-modelisationsPretopologique"/>
    <w:p>
      <w:pPr>
        <w:pStyle w:val="Heading3"/>
      </w:pPr>
      <w:r>
        <w:t xml:space="preserve">2.4.2 Modélisations prétopologiques des concepts</w:t>
      </w:r>
    </w:p>
    <w:p>
      <w:pPr>
        <w:pStyle w:val="FirstParagraph"/>
      </w:pPr>
      <w:r>
        <w:t xml:space="preserve">Face à ces difficultés, nous proposons de concevoir la cartographie des espaces sémantiques à partir d’outils simples permettant à chacun de construire ses propres représentations conceptuelles et donc de maîtriser le sens de ces représentations. Pour ce faire, nous avons élaboré un outil de conception de cartes sémantiques qui s’appuie sur le principes de la prétopologie</w:t>
      </w:r>
      <w:r>
        <w:t xml:space="preserve"> </w:t>
      </w:r>
      <w:r>
        <w:t xml:space="preserve">(Belmandt, 1993; Thibault, 2017; Toumia, 2018)</w:t>
      </w:r>
      <w:r>
        <w:t xml:space="preserve"> </w:t>
      </w:r>
      <w:r>
        <w:t xml:space="preserve">pour manipuler des concepts et leurs relations.</w:t>
      </w:r>
    </w:p>
    <w:p>
      <w:pPr>
        <w:pStyle w:val="BodyText"/>
      </w:pPr>
      <w:r>
        <w:t xml:space="preserve">Les espaces conceptuels se prêtent particulièrement bien à la modélisation prétopologique car il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cartographiques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espaces conceptuels relativement simples avec un protocole de formalisation les rendant compréhensibles, interopérables et calculables. Les choix nécessaires à la construction de la carte sont ceux du cartographe et pas ceux d’un algorithme qu’on bricole en jouant avec ses paramètres pour obtenir la représentation désirée. Avec l’outil que nous proposons, le cartographe maîtrise la signification de ces choix ce qui n’est pas toujours le cas quand on applique un algorithme sur une grande quantité de données. L’objectif est d’éviter que la carte serve uniquement d’illustration justifiant un discours par un « preuve » graphique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∀A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 sous forme de mots  : P(X) = [« humains », « machines », « collaboration », « efficace », « biais », « cognitifs »]. Ces mots sont eux-aussi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bookmarkEnd w:id="358"/>
    <w:bookmarkStart w:id="374" w:name="sec-applicationsPretopologique"/>
    <w:p>
      <w:pPr>
        <w:pStyle w:val="Heading3"/>
      </w:pPr>
      <w:r>
        <w:t xml:space="preserve">2.4.3 Applications prétopologiques des concepts</w:t>
      </w:r>
    </w:p>
    <w:p>
      <w:pPr>
        <w:pStyle w:val="FirstParagraph"/>
      </w:pPr>
      <w:r>
        <w:t xml:space="preserve">Pour faciliter les manipulations de concepts nous travaillons à un dispositif de cartographie qui présente un espace dynamique et interactif dans lequel les cartographes pourront utiliser graphiquement les applications prétopologiques pour : créer un espace, le définir, créer des sous 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 la possibilité d’expression puisque le regroupement des élément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 des travaux d’Amit Patel</w:t>
      </w:r>
      <w:r>
        <w:rPr>
          <w:rStyle w:val="FootnoteReference"/>
        </w:rPr>
        <w:footnoteReference w:id="359"/>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362"/>
      </w:r>
      <w:r>
        <w:t xml:space="preserve"> </w:t>
      </w:r>
      <w:r>
        <w:t xml:space="preserve">et mises en application dans un module Omeka S (</w:t>
      </w:r>
      <w:hyperlink w:anchor="sec-cartoAffect">
        <w:r>
          <w:rPr>
            <w:rStyle w:val="Hyperlink"/>
          </w:rPr>
          <w:t xml:space="preserve">Section 9.1.4.2.4</w:t>
        </w:r>
      </w:hyperlink>
      <w:r>
        <w:t xml:space="preserve">) afin de gérer les manipulations d’informations dans une base de données.</w:t>
      </w:r>
    </w:p>
    <w:p>
      <w:pPr>
        <w:pStyle w:val="FirstParagraph"/>
      </w:pPr>
      <w:r>
        <w:t xml:space="preserve">Une fois connecté à l’application de cartographie, la première action a effectuer est de charger une carte ou d’en crééer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 permettant ainsi e fractaliser la cartographie avec des grilles hexagonales incluant d’autres grille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367" w:name="fig-cartoHexa"/>
          <w:p>
            <w:pPr>
              <w:pStyle w:val="Compact"/>
              <w:jc w:val="center"/>
            </w:pPr>
            <w:r>
              <w:drawing>
                <wp:inline>
                  <wp:extent cx="5334000" cy="4548410"/>
                  <wp:effectExtent b="0" l="0" r="0" t="0"/>
                  <wp:docPr descr="" title="" id="365" name="Picture"/>
                  <a:graphic>
                    <a:graphicData uri="http://schemas.openxmlformats.org/drawingml/2006/picture">
                      <pic:pic>
                        <pic:nvPicPr>
                          <pic:cNvPr descr="images/localhost_samszo_HDR_docs_jdcCartoHexa.html.png" id="366" name="Picture"/>
                          <pic:cNvPicPr>
                            <a:picLocks noChangeArrowheads="1" noChangeAspect="1"/>
                          </pic:cNvPicPr>
                        </pic:nvPicPr>
                        <pic:blipFill>
                          <a:blip r:embed="rId364"/>
                          <a:stretch>
                            <a:fillRect/>
                          </a:stretch>
                        </pic:blipFill>
                        <pic:spPr bwMode="auto">
                          <a:xfrm>
                            <a:off x="0" y="0"/>
                            <a:ext cx="5334000" cy="45484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Cartographie conceptuel dans un espace hexagonal</w:t>
            </w:r>
          </w:p>
          <w:bookmarkEnd w:id="367"/>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enregistrée dans la base de données à partir de quelques lettres ; l’utilisateur est informé des concepts existants et peut donc choisir une référence que d’autres utilisateurs ont déjà utilisé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3.10</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 à dire dans des usages ayant leurs propres spécificités (</w:t>
      </w:r>
      <w:r>
        <w:t xml:space="preserve">(</w:t>
      </w:r>
      <w:r>
        <w:rPr>
          <w:bCs/>
          <w:b/>
        </w:rPr>
        <w:t xml:space="preserve">actionSitue?</w:t>
      </w:r>
      <w:r>
        <w:t xml:space="preserve">)</w:t>
      </w:r>
      <w:r>
        <w:t xml:space="preserve">). De plus, l’enregistrement situé des étapes de construction de la carte rend accessible le processus créatif de son auteur.</w:t>
      </w:r>
    </w:p>
    <w:p>
      <w:pPr>
        <w:pStyle w:val="BodyText"/>
      </w:pPr>
      <w:r>
        <w:t xml:space="preserve">Cette définition minimale de l’espace prétopologique peut être enrichie par d’autres applications qui enrichissent l’espace de nouvelles propriété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apparaitre un formulaire permettant de choisir un concept et les relations que ce concept entretient avec le concept dont il est un sous espace. Ces relations sont exprimées avec le vocabulaire des relations de SKOS</w:t>
      </w:r>
      <w:r>
        <w:rPr>
          <w:rStyle w:val="FootnoteReference"/>
        </w:rPr>
        <w:footnoteReference w:id="368"/>
      </w:r>
      <w:r>
        <w:t xml:space="preserve"> </w:t>
      </w:r>
      <w:r>
        <w:t xml:space="preserve">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373" w:name="fig-cartoHexaAjoutConcept"/>
          <w:p>
            <w:pPr>
              <w:pStyle w:val="Compact"/>
              <w:jc w:val="center"/>
            </w:pPr>
            <w:r>
              <w:drawing>
                <wp:inline>
                  <wp:extent cx="5334000" cy="3736473"/>
                  <wp:effectExtent b="0" l="0" r="0" t="0"/>
                  <wp:docPr descr="" title="" id="371" name="Picture"/>
                  <a:graphic>
                    <a:graphicData uri="http://schemas.openxmlformats.org/drawingml/2006/picture">
                      <pic:pic>
                        <pic:nvPicPr>
                          <pic:cNvPr descr="images/localhost_samszo_HDR_docs_jdcCartoHexaAjoutCrible.html.png" id="372" name="Picture"/>
                          <pic:cNvPicPr>
                            <a:picLocks noChangeArrowheads="1" noChangeAspect="1"/>
                          </pic:cNvPicPr>
                        </pic:nvPicPr>
                        <pic:blipFill>
                          <a:blip r:embed="rId370"/>
                          <a:stretch>
                            <a:fillRect/>
                          </a:stretch>
                        </pic:blipFill>
                        <pic:spPr bwMode="auto">
                          <a:xfrm>
                            <a:off x="0" y="0"/>
                            <a:ext cx="5334000" cy="37364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Ajout d’un concept et de ses relations</w:t>
            </w:r>
          </w:p>
          <w:bookmarkEnd w:id="373"/>
        </w:tc>
      </w:tr>
    </w:tbl>
    <w:bookmarkEnd w:id="374"/>
    <w:bookmarkEnd w:id="375"/>
    <w:bookmarkStart w:id="409" w:name="sec-espaceActant"/>
    <w:p>
      <w:pPr>
        <w:pStyle w:val="Heading2"/>
      </w:pPr>
      <w:r>
        <w:t xml:space="preserve">2.5 L’actant : connaissances des dynamiques génératives</w:t>
      </w:r>
    </w:p>
    <w:p>
      <w:pPr>
        <w:pStyle w:val="FirstParagraph"/>
      </w:pPr>
      <w:r>
        <w:t xml:space="preserve">Entre la dimension des physicalités organisée en hiérarchies et celle des concepts organisée en topologies, la dimension des actants organise l’espace des connaissances à la fois sous la forme de topos et de chôra</w:t>
      </w:r>
      <w:r>
        <w:t xml:space="preserve"> </w:t>
      </w:r>
      <w:r>
        <w:t xml:space="preserve">(Derrida, 1997; Zamora, 2003)</w:t>
      </w:r>
      <w:r>
        <w:t xml:space="preserve">. Topos et chôra sont deux manières complémentaires de définir l’espace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relèvent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coté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9" w:name="fig-adamNomme"/>
          <w:p>
            <w:pPr>
              <w:pStyle w:val="Compact"/>
              <w:jc w:val="center"/>
            </w:pPr>
            <w:r>
              <w:drawing>
                <wp:inline>
                  <wp:extent cx="5334000" cy="2161381"/>
                  <wp:effectExtent b="0" l="0" r="0" t="0"/>
                  <wp:docPr descr="" title="" id="377" name="Picture"/>
                  <a:graphic>
                    <a:graphicData uri="http://schemas.openxmlformats.org/drawingml/2006/picture">
                      <pic:pic>
                        <pic:nvPicPr>
                          <pic:cNvPr descr="images/Adam_naming_animals_-_Moni_Ayou_Nikolaou_(Meteora).jpg" id="378" name="Picture"/>
                          <pic:cNvPicPr>
                            <a:picLocks noChangeArrowheads="1" noChangeAspect="1"/>
                          </pic:cNvPicPr>
                        </pic:nvPicPr>
                        <pic:blipFill>
                          <a:blip r:embed="rId376"/>
                          <a:stretch>
                            <a:fillRect/>
                          </a:stretch>
                        </pic:blipFill>
                        <pic:spPr bwMode="auto">
                          <a:xfrm>
                            <a:off x="0" y="0"/>
                            <a:ext cx="5334000" cy="2161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Adam nomme les animaux</w:t>
            </w:r>
          </w:p>
          <w:bookmarkEnd w:id="379"/>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coté de l’Orient, la taoïsme apporte quant à lui une approche de l’environement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trouvent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dynamiqmes, les deux approches sont complémentaire notamment quand on cherche à modéliser les actants qui ne sont ni réductibles à leur identité ni à leurs activités. L’actant possède une identité qu’on défini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2.6</w:t>
        </w:r>
      </w:hyperlink>
      <w:r>
        <w:t xml:space="preserve">). Les actants sont topos de part les rapports qu’ils entretiennent avec les physicalités et chôra dans les processus internes d’émergence des connaissances intuitives issu des expériences de l’espace vécu. L’actant est donc le milieu de ces pulsations exitentielles que nous décrivions plus haut</w:t>
      </w:r>
      <w:r>
        <w:t xml:space="preserve"> </w:t>
      </w:r>
      <w:hyperlink w:anchor="fig-dynamiquesPulsationsExistentielles">
        <w:r>
          <w:rPr>
            <w:rStyle w:val="Hyperlink"/>
          </w:rPr>
          <w:t xml:space="preserve">Figure 2.2</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(dicerner, raisonner, agir). En se sens la représentation de l’actant est à la fois topologique et chorématique</w:t>
      </w:r>
      <w:r>
        <w:t xml:space="preserve">(Brandt, 2021; Reymond &amp; Brunet, 1996)</w:t>
      </w:r>
      <w:r>
        <w:t xml:space="preserve">.</w:t>
      </w:r>
    </w:p>
    <w:p>
      <w:pPr>
        <w:pStyle w:val="BodyText"/>
      </w:pPr>
      <w:r>
        <w:t xml:space="preserve">Pour représenter les actants, nous avons fait le choix de l’hexagone dont la forme est entre le rectangle qui représente les physicalités et le cercle qui représente les concepts. De plus, les six cotés de l’hexagone offrent une possibilité de trois plage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paver avec des hexagones (</w:t>
      </w:r>
      <w:hyperlink w:anchor="fig-cartoHexa">
        <w:r>
          <w:rPr>
            <w:rStyle w:val="Hyperlink"/>
          </w:rPr>
          <w:t xml:space="preserve">Figure 2.15</w:t>
        </w:r>
      </w:hyperlink>
      <w:r>
        <w:t xml:space="preserve">). A l’hexagone nous avons associé un cercle qui défini l’intériorité d’un actant (</w:t>
      </w:r>
      <w:hyperlink w:anchor="fig-actantP8">
        <w:r>
          <w:rPr>
            <w:rStyle w:val="Hyperlink"/>
          </w:rPr>
          <w:t xml:space="preserve">Figure 2.18</w:t>
        </w:r>
      </w:hyperlink>
      <w:r>
        <w:t xml:space="preserve">) ou de plusieurs actants qui se partagent la même intériorité par exemple dans le cadre d’une institution ou d’un groupe d’individu qui mettent en commun des concepts et des pouvoirs (</w:t>
      </w:r>
      <w:hyperlink w:anchor="fig-actantP8-membres">
        <w:r>
          <w:rPr>
            <w:rStyle w:val="Hyperlink"/>
          </w:rPr>
          <w:t xml:space="preserve">Figure 2.19</w:t>
        </w:r>
      </w:hyperlink>
      <w:r>
        <w:t xml:space="preserve">) ou dans le cas d’une modélisation global d’un écosystème qui possède sa propre intériorité composée de plusieurs actants ayant eux-même leurs propres intériorités (</w:t>
      </w:r>
      <w:hyperlink w:anchor="fig-actantSonar">
        <w:r>
          <w:rPr>
            <w:rStyle w:val="Hyperlink"/>
          </w:rPr>
          <w:t xml:space="preserve">Figure 2.20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4" w:name="fig-actantP8"/>
          <w:p>
            <w:pPr>
              <w:pStyle w:val="Compact"/>
              <w:jc w:val="center"/>
            </w:pPr>
            <w:r>
              <w:drawing>
                <wp:inline>
                  <wp:extent cx="2066925" cy="1790700"/>
                  <wp:effectExtent b="0" l="0" r="0" t="0"/>
                  <wp:docPr descr="" title="" id="381" name="Picture"/>
                  <a:graphic>
                    <a:graphicData uri="http://schemas.openxmlformats.org/drawingml/2006/picture">
                      <pic:pic>
                        <pic:nvPicPr>
                          <pic:cNvPr descr="images/actantP8.svg" id="382" name="Picture"/>
                          <pic:cNvPicPr>
                            <a:picLocks noChangeArrowheads="1" noChangeAspect="1"/>
                          </pic:cNvPicPr>
                        </pic:nvPicPr>
                        <pic:blipFill>
                          <a:blip r:embed="rId383">
                            <a:extLst>
                              <a:ext uri="{28A0092B-C50C-407E-A947-70E740481C1C}">
                                <a14:useLocalDpi xmlns:a14="http://schemas.microsoft.com/office/drawing/2010/main" val="0"/>
                              </a:ext>
                              <a:ext uri="{96DAC541-7B7A-43D3-8B79-37D633B846F1}">
                                <asvg:svgBlip xmlns:asvg="http://schemas.microsoft.com/office/drawing/2016/SVG/main" r:embed="rId380"/>
                              </a:ext>
                            </a:extLst>
                          </a:blip>
                          <a:stretch>
                            <a:fillRect/>
                          </a:stretch>
                        </pic:blipFill>
                        <pic:spPr bwMode="auto">
                          <a:xfrm>
                            <a:off x="0" y="0"/>
                            <a:ext cx="2066925" cy="1790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Actant individuel</w:t>
            </w:r>
          </w:p>
          <w:bookmarkEnd w:id="3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89" w:name="fig-actantP8-membres"/>
          <w:p>
            <w:pPr>
              <w:pStyle w:val="Compact"/>
              <w:jc w:val="center"/>
            </w:pPr>
            <w:r>
              <w:drawing>
                <wp:inline>
                  <wp:extent cx="5219700" cy="4657725"/>
                  <wp:effectExtent b="0" l="0" r="0" t="0"/>
                  <wp:docPr descr="" title="" id="386" name="Picture"/>
                  <a:graphic>
                    <a:graphicData uri="http://schemas.openxmlformats.org/drawingml/2006/picture">
                      <pic:pic>
                        <pic:nvPicPr>
                          <pic:cNvPr descr="images/actantP8-labos-ufr.svg" id="387" name="Picture"/>
                          <pic:cNvPicPr>
                            <a:picLocks noChangeArrowheads="1" noChangeAspect="1"/>
                          </pic:cNvPicPr>
                        </pic:nvPicPr>
                        <pic:blipFill>
                          <a:blip r:embed="rId388">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5219700" cy="46577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Actants d’une communauté</w:t>
            </w:r>
          </w:p>
          <w:bookmarkEnd w:id="3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93" w:name="fig-actantSonar"/>
          <w:p>
            <w:pPr>
              <w:pStyle w:val="Compact"/>
              <w:jc w:val="center"/>
            </w:pPr>
            <w:r>
              <w:drawing>
                <wp:inline>
                  <wp:extent cx="3810000" cy="2540000"/>
                  <wp:effectExtent b="0" l="0" r="0" t="0"/>
                  <wp:docPr descr="" title="" id="391" name="Picture"/>
                  <a:graphic>
                    <a:graphicData uri="http://schemas.openxmlformats.org/drawingml/2006/picture">
                      <pic:pic>
                        <pic:nvPicPr>
                          <pic:cNvPr descr="images/iceSonar.png" id="392" name="Picture"/>
                          <pic:cNvPicPr>
                            <a:picLocks noChangeArrowheads="1" noChangeAspect="1"/>
                          </pic:cNvPicPr>
                        </pic:nvPicPr>
                        <pic:blipFill>
                          <a:blip r:embed="rId3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Actants dans un écosystème</w:t>
            </w:r>
          </w:p>
          <w:bookmarkEnd w:id="393"/>
        </w:tc>
      </w:tr>
    </w:tbl>
    <w:p>
      <w:pPr>
        <w:pStyle w:val="BodyText"/>
      </w:pPr>
      <w:r>
        <w:t xml:space="preserve">Un des autres grands intérets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398" w:name="fig-hexaVenn2"/>
          <w:p>
            <w:pPr>
              <w:pStyle w:val="Compact"/>
              <w:jc w:val="center"/>
            </w:pPr>
            <w:r>
              <w:drawing>
                <wp:inline>
                  <wp:extent cx="2000250" cy="1190625"/>
                  <wp:effectExtent b="0" l="0" r="0" t="0"/>
                  <wp:docPr descr="" title="" id="395" name="Picture"/>
                  <a:graphic>
                    <a:graphicData uri="http://schemas.openxmlformats.org/drawingml/2006/picture">
                      <pic:pic>
                        <pic:nvPicPr>
                          <pic:cNvPr descr="images/actantVenn2.svg" id="396" name="Picture"/>
                          <pic:cNvPicPr>
                            <a:picLocks noChangeArrowheads="1" noChangeAspect="1"/>
                          </pic:cNvPicPr>
                        </pic:nvPicPr>
                        <pic:blipFill>
                          <a:blip r:embed="rId397">
                            <a:extLst>
                              <a:ext uri="{28A0092B-C50C-407E-A947-70E740481C1C}">
                                <a14:useLocalDpi xmlns:a14="http://schemas.microsoft.com/office/drawing/2010/main" val="0"/>
                              </a:ext>
                              <a:ext uri="{96DAC541-7B7A-43D3-8B79-37D633B846F1}">
                                <asvg:svgBlip xmlns:asvg="http://schemas.microsoft.com/office/drawing/2016/SVG/main" r:embed="rId394"/>
                              </a:ext>
                            </a:extLst>
                          </a:blip>
                          <a:stretch>
                            <a:fillRect/>
                          </a:stretch>
                        </pic:blipFill>
                        <pic:spPr bwMode="auto">
                          <a:xfrm>
                            <a:off x="0" y="0"/>
                            <a:ext cx="2000250" cy="11906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Diagramme de Venn à 2 ensembles =&gt; 3 espaces hexagonaux</w:t>
            </w:r>
          </w:p>
          <w:bookmarkEnd w:id="39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3" w:name="fig-hexaVenn3"/>
          <w:p>
            <w:pPr>
              <w:pStyle w:val="Compact"/>
              <w:jc w:val="center"/>
            </w:pPr>
            <w:r>
              <w:drawing>
                <wp:inline>
                  <wp:extent cx="2000250" cy="1733550"/>
                  <wp:effectExtent b="0" l="0" r="0" t="0"/>
                  <wp:docPr descr="" title="" id="400" name="Picture"/>
                  <a:graphic>
                    <a:graphicData uri="http://schemas.openxmlformats.org/drawingml/2006/picture">
                      <pic:pic>
                        <pic:nvPicPr>
                          <pic:cNvPr descr="images/actantVenn3.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2000250" cy="17335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Diagramme de Venn à 3 ensembles =&gt; 7 espaces hexagonaux</w:t>
            </w:r>
          </w:p>
          <w:bookmarkEnd w:id="4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8" w:name="fig-hexaVenn4"/>
          <w:p>
            <w:pPr>
              <w:pStyle w:val="Compact"/>
              <w:jc w:val="center"/>
            </w:pPr>
            <w:r>
              <w:drawing>
                <wp:inline>
                  <wp:extent cx="5334000" cy="2904204"/>
                  <wp:effectExtent b="0" l="0" r="0" t="0"/>
                  <wp:docPr descr="" title="" id="405" name="Picture"/>
                  <a:graphic>
                    <a:graphicData uri="http://schemas.openxmlformats.org/drawingml/2006/picture">
                      <pic:pic>
                        <pic:nvPicPr>
                          <pic:cNvPr descr="images/actantVenn4.svg" id="406" name="Picture"/>
                          <pic:cNvPicPr>
                            <a:picLocks noChangeArrowheads="1" noChangeAspect="1"/>
                          </pic:cNvPicPr>
                        </pic:nvPicPr>
                        <pic:blipFill>
                          <a:blip r:embed="rId407">
                            <a:extLst>
                              <a:ext uri="{28A0092B-C50C-407E-A947-70E740481C1C}">
                                <a14:useLocalDpi xmlns:a14="http://schemas.microsoft.com/office/drawing/2010/main" val="0"/>
                              </a:ext>
                              <a:ext uri="{96DAC541-7B7A-43D3-8B79-37D633B846F1}">
                                <asvg:svgBlip xmlns:asvg="http://schemas.microsoft.com/office/drawing/2016/SVG/main" r:embed="rId404"/>
                              </a:ext>
                            </a:extLst>
                          </a:blip>
                          <a:stretch>
                            <a:fillRect/>
                          </a:stretch>
                        </pic:blipFill>
                        <pic:spPr bwMode="auto">
                          <a:xfrm>
                            <a:off x="0" y="0"/>
                            <a:ext cx="5334000" cy="29042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Diagramme de Venn à 4 ensembles =&gt; 15 espaces hexagonaux</w:t>
            </w:r>
          </w:p>
          <w:bookmarkEnd w:id="408"/>
        </w:tc>
      </w:tr>
    </w:tbl>
    <w:p>
      <w:pPr>
        <w:pStyle w:val="BodyText"/>
      </w:pPr>
      <w:r>
        <w:t xml:space="preserve">Chaque espace défini par les intersections renvoie un ensemble particulier d’actant, par exemple</w:t>
      </w:r>
      <w:r>
        <w:t xml:space="preserve"> </w:t>
      </w:r>
      <w:hyperlink w:anchor="fig-hexaVenn2">
        <w:r>
          <w:rPr>
            <w:rStyle w:val="Hyperlink"/>
          </w:rPr>
          <w:t xml:space="preserve">Figure 2.21</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 est supérieur à cinq, il devient difficile de lire correctement certain cas d’inclusion comme le montre</w:t>
      </w:r>
      <w:r>
        <w:t xml:space="preserve"> </w:t>
      </w:r>
      <w:hyperlink w:anchor="fig-hexaVenn4">
        <w:r>
          <w:rPr>
            <w:rStyle w:val="Hyperlink"/>
          </w:rPr>
          <w:t xml:space="preserve">Figure 2.23</w:t>
        </w:r>
      </w:hyperlink>
      <w:r>
        <w:t xml:space="preserve"> </w:t>
      </w:r>
      <w:r>
        <w:t xml:space="preserve">et même très difficile de les représenter sous forme hexagonale. Dans le cas où les ensembles d’actant sont nombreux, il convient donc de trouver d’autres solutions graphiques pour représenter l’appartenance d’un actant à une institution, par exemple en représentant une autre dimension existentielle : les rapports.</w:t>
      </w:r>
    </w:p>
    <w:bookmarkEnd w:id="409"/>
    <w:bookmarkStart w:id="430" w:name="sec-rapportsInstExis"/>
    <w:p>
      <w:pPr>
        <w:pStyle w:val="Heading2"/>
      </w:pPr>
      <w:r>
        <w:t xml:space="preserve">2.6 Les rapports :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leurs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commencerais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Pour modéliser des rapports 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413" w:name="fig-tripletRDF"/>
      <w:r>
        <w:drawing>
          <wp:inline>
            <wp:extent cx="5334000" cy="851170"/>
            <wp:effectExtent b="0" l="0" r="0" t="0"/>
            <wp:docPr descr="Visualisattion des triplets RDF" title="" id="411" name="Picture"/>
            <a:graphic>
              <a:graphicData uri="http://schemas.openxmlformats.org/drawingml/2006/picture">
                <pic:pic>
                  <pic:nvPicPr>
                    <pic:cNvPr descr="images/Schema_triplet.png" id="412" name="Picture"/>
                    <pic:cNvPicPr>
                      <a:picLocks noChangeArrowheads="1" noChangeAspect="1"/>
                    </pic:cNvPicPr>
                  </pic:nvPicPr>
                  <pic:blipFill>
                    <a:blip r:embed="rId410"/>
                    <a:stretch>
                      <a:fillRect/>
                    </a:stretch>
                  </pic:blipFill>
                  <pic:spPr bwMode="auto">
                    <a:xfrm>
                      <a:off x="0" y="0"/>
                      <a:ext cx="5334000" cy="851170"/>
                    </a:xfrm>
                    <a:prstGeom prst="rect">
                      <a:avLst/>
                    </a:prstGeom>
                    <a:noFill/>
                    <a:ln w="9525">
                      <a:noFill/>
                      <a:headEnd/>
                      <a:tailEnd/>
                    </a:ln>
                  </pic:spPr>
                </pic:pic>
              </a:graphicData>
            </a:graphic>
          </wp:inline>
        </w:drawing>
      </w:r>
      <w:bookmarkEnd w:id="413"/>
    </w:p>
    <w:p>
      <w:pPr>
        <w:pStyle w:val="BodyText"/>
      </w:pPr>
      <w:r>
        <w:t xml:space="preserve">Nos principes de cartographie s’accomodent parfaitement de cette modélisation par triplet RDF mais nous faisons le choix d’un autre type de représentation qui reprend les recommandations du W3C avec le format « Open Annotation »</w:t>
      </w:r>
      <w:r>
        <w:rPr>
          <w:rStyle w:val="FootnoteReference"/>
        </w:rPr>
        <w:footnoteReference w:id="414"/>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419" w:name="fig-webAnnotation"/>
          <w:p>
            <w:pPr>
              <w:pStyle w:val="Compact"/>
              <w:jc w:val="center"/>
            </w:pPr>
            <w:r>
              <w:drawing>
                <wp:inline>
                  <wp:extent cx="4514450" cy="2596128"/>
                  <wp:effectExtent b="0" l="0" r="0" t="0"/>
                  <wp:docPr descr="" title="" id="417" name="Picture"/>
                  <a:graphic>
                    <a:graphicData uri="http://schemas.openxmlformats.org/drawingml/2006/picture">
                      <pic:pic>
                        <pic:nvPicPr>
                          <pic:cNvPr descr="media/10000001000002C2000001965EFA665F8AB6D163.png" id="418" name="Picture"/>
                          <pic:cNvPicPr>
                            <a:picLocks noChangeArrowheads="1" noChangeAspect="1"/>
                          </pic:cNvPicPr>
                        </pic:nvPicPr>
                        <pic:blipFill>
                          <a:blip r:embed="rId416"/>
                          <a:stretch>
                            <a:fillRect/>
                          </a:stretch>
                        </pic:blipFill>
                        <pic:spPr bwMode="auto">
                          <a:xfrm>
                            <a:off x="0" y="0"/>
                            <a:ext cx="4514450" cy="2596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Web Annotation Data Model https://www.w3.org/TR/annotation-model/</w:t>
            </w:r>
          </w:p>
          <w:bookmarkEnd w:id="419"/>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toute autre approche puisque la modélisation des rapports que nous proposons s’incrit dans une démarche où ne reduisons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 que soit la dimension existentielle à laquelle elle appartient. Notre modèle propose quatre dimensions existentielles et trois positions pour définir un rapport ce qui donne 4*4*4 = 64 possibilités de rapports. Toutefois, de notre point vue, ces 64 possibilités de rapport ne sont pas toutes cohérentes comme le résume le tableau suivant :</w:t>
      </w:r>
    </w:p>
    <w:tbl>
      <w:tblPr>
        <w:tblStyle w:val="Table"/>
        <w:tblW w:type="pct" w:w="5000"/>
        <w:tblLook w:firstRow="0" w:lastRow="0" w:firstColumn="0" w:lastColumn="0" w:noHBand="0" w:noVBand="0" w:val="0000"/>
        <w:jc w:val="start"/>
        <w:tblLayout w:type="fixed"/>
      </w:tblPr>
      <w:tblGrid>
        <w:gridCol w:w="7920"/>
      </w:tblGrid>
      <w:tr>
        <w:tc>
          <w:tcPr/>
          <w:bookmarkStart w:id="423" w:name="fig-coherenceRapport"/>
          <w:p>
            <w:pPr>
              <w:pStyle w:val="Compact"/>
              <w:jc w:val="center"/>
            </w:pPr>
            <w:r>
              <w:drawing>
                <wp:inline>
                  <wp:extent cx="635267" cy="9615637"/>
                  <wp:effectExtent b="0" l="0" r="0" t="0"/>
                  <wp:docPr descr="" title="" id="421" name="Picture"/>
                  <a:graphic>
                    <a:graphicData uri="http://schemas.openxmlformats.org/drawingml/2006/picture">
                      <pic:pic>
                        <pic:nvPicPr>
                          <pic:cNvPr descr="images/coherencesRapports.png" id="422" name="Picture"/>
                          <pic:cNvPicPr>
                            <a:picLocks noChangeArrowheads="1" noChangeAspect="1"/>
                          </pic:cNvPicPr>
                        </pic:nvPicPr>
                        <pic:blipFill>
                          <a:blip r:embed="rId420"/>
                          <a:stretch>
                            <a:fillRect/>
                          </a:stretch>
                        </pic:blipFill>
                        <pic:spPr bwMode="auto">
                          <a:xfrm>
                            <a:off x="0" y="0"/>
                            <a:ext cx="635267" cy="96156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Cohérences des rapports</w:t>
            </w:r>
          </w:p>
          <w:bookmarkEnd w:id="423"/>
        </w:tc>
      </w:tr>
    </w:tbl>
    <w:p>
      <w:pPr>
        <w:pStyle w:val="BodyText"/>
      </w:pPr>
      <w:r>
        <w:t xml:space="preserve">On le voit, la majeur partie des relations sont pour nous incohérentes puisque sur 64 possibilités nous n’en retenons que 9. Insistons sur le fait que ces incohérences le sont de notre point vue et que d’autres personnes pourrait considérer que d’autres rapports sont possibles suivant leurs manières de penser les connaissances. C’est ici que se situe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2</w:t>
        </w:r>
      </w:hyperlink>
      <w:r>
        <w:t xml:space="preserve"> </w:t>
      </w:r>
      <w:r>
        <w:t xml:space="preserve">mais de nombreuses questions se posent : peut-on considérer comme sujet uniquement les actants et comme prédicat uniquement les concepts ? Les concepts peuvent-ils être des objets ? Les physicalités peuvent-elles êtres des prédicats ?</w:t>
      </w:r>
    </w:p>
    <w:p>
      <w:pPr>
        <w:pStyle w:val="BodyText"/>
      </w:pPr>
      <w:r>
        <w:t xml:space="preserve">Pour toutes ces questions, il convient de trouver des exemples précis dans la littérature ou dans la vie courante qui montre la cohérence ou non des rapports. Nous nous appuyons sur notre modèle</w:t>
      </w:r>
      <w:r>
        <w:t xml:space="preserve"> </w:t>
      </w:r>
      <w:hyperlink w:anchor="sec-modeleOntoEthique">
        <w:r>
          <w:rPr>
            <w:rStyle w:val="Hyperlink"/>
          </w:rPr>
          <w:t xml:space="preserve">Section 5.0.2</w:t>
        </w:r>
      </w:hyperlink>
      <w:r>
        <w:t xml:space="preserve"> </w:t>
      </w:r>
      <w:r>
        <w:t xml:space="preserve">pour faire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n’empèchent pas de considérer une personnes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 sur la table, devient alors banane en tant que fruit jaune et allongée des zones tropicales. Il est toujours possible de modéliser une entité suivant un dimension particulière afin de s’interroger sur un point de vue spécifique. C’est ce qui et à l’oeuvre dans l’hypothèse Gaïa qui pense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424"/>
      </w:r>
      <w:r>
        <w:t xml:space="preserve"> </w:t>
      </w:r>
      <w:r>
        <w:t xml:space="preserve">afin de créer des rapports entre des ressources physiques, actants et concepts. Notons que cette modélisation est elle aussi fractale puisque un rapport en tant que ressource peut être en relation avec les autres dimension existentielles, par exemple pour qualifier le rapport avec un concept particulier, comme ceux proposés par la langage SKOS</w:t>
      </w:r>
      <w:r>
        <w:t xml:space="preserve"> </w:t>
      </w:r>
      <w:hyperlink w:anchor="fig-cartoHexaAjoutConcept">
        <w:r>
          <w:rPr>
            <w:rStyle w:val="Hyperlink"/>
          </w:rPr>
          <w:t xml:space="preserve">Figure 2.16</w:t>
        </w:r>
      </w:hyperlink>
      <w:r>
        <w:t xml:space="preserve">.</w:t>
      </w:r>
    </w:p>
    <w:p>
      <w:pPr>
        <w:pStyle w:val="FirstParagraph"/>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429" w:name="fig-datavizRapport"/>
          <w:p>
            <w:pPr>
              <w:pStyle w:val="Compact"/>
              <w:jc w:val="center"/>
            </w:pPr>
            <w:r>
              <w:drawing>
                <wp:inline>
                  <wp:extent cx="5334000" cy="3337597"/>
                  <wp:effectExtent b="0" l="0" r="0" t="0"/>
                  <wp:docPr descr="" title="" id="427" name="Picture"/>
                  <a:graphic>
                    <a:graphicData uri="http://schemas.openxmlformats.org/drawingml/2006/picture">
                      <pic:pic>
                        <pic:nvPicPr>
                          <pic:cNvPr descr="images/localhost_samszo_HDR_jdcComplexityDiagramme.html.png" id="428" name="Picture"/>
                          <pic:cNvPicPr>
                            <a:picLocks noChangeArrowheads="1" noChangeAspect="1"/>
                          </pic:cNvPicPr>
                        </pic:nvPicPr>
                        <pic:blipFill>
                          <a:blip r:embed="rId426"/>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Visualisattion des rapports</w:t>
            </w:r>
          </w:p>
          <w:bookmarkEnd w:id="429"/>
        </w:tc>
      </w:tr>
    </w:tbl>
    <w:p>
      <w:pPr>
        <w:pStyle w:val="BodyText"/>
      </w:pPr>
      <w:r>
        <w:t xml:space="preserve">Les quatre dimensions de l’existence que nous utilisons pour modéliser les écosystèmes de connaissances, sont autonomes quant à leur propriétés spécifiques et leur mode de représentation. Toutefois, ils convient de les utiliser ensemble pour obtenir une vision globale de l’écosystème. Pour cela, nous avons besoin d’un nouveau principe pour associer ces dimensions existentielles et les représenter : le crible.</w:t>
      </w:r>
    </w:p>
    <w:bookmarkEnd w:id="430"/>
    <w:bookmarkStart w:id="449" w:name="sec-modeliserCrible"/>
    <w:p>
      <w:pPr>
        <w:pStyle w:val="Heading2"/>
      </w:pPr>
      <w:r>
        <w:t xml:space="preserve">2.7 Modéliser des cribles : vers une cartographie des subjectivités</w:t>
      </w:r>
      <w:r>
        <w:rPr>
          <w:rStyle w:val="FootnoteReference"/>
        </w:rPr>
        <w:footnoteReference w:id="431"/>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w:t>
      </w:r>
      <w:r>
        <w:t xml:space="preserve"> </w:t>
      </w:r>
      <w:r>
        <w:t xml:space="preserve">interface entre le monde et l’individu :</w:t>
      </w:r>
    </w:p>
    <w:p>
      <w:pPr>
        <w:pStyle w:val="BlockText"/>
      </w:pPr>
      <w:r>
        <w:t xml:space="preserve">«  le monde entier n’est qu’une vitualité qui n’existe actuellement que dans les plis de l’âme qui l’exprime, l’âme opérant des déblis intérieurs par lequel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19"/>
        </w:numPr>
      </w:pPr>
      <w:r>
        <w:t xml:space="preserve">d’un sujet = le flux d’information,</w:t>
      </w:r>
    </w:p>
    <w:p>
      <w:pPr>
        <w:numPr>
          <w:ilvl w:val="0"/>
          <w:numId w:val="1019"/>
        </w:numPr>
      </w:pPr>
      <w:r>
        <w:t xml:space="preserve">d’un objet = l’indicateur</w:t>
      </w:r>
    </w:p>
    <w:p>
      <w:pPr>
        <w:numPr>
          <w:ilvl w:val="0"/>
          <w:numId w:val="1019"/>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20"/>
        </w:numPr>
      </w:pPr>
      <w:r>
        <w:t xml:space="preserve">sujet = les pâtes qui cuisent dans l’eau,</w:t>
      </w:r>
    </w:p>
    <w:p>
      <w:pPr>
        <w:numPr>
          <w:ilvl w:val="0"/>
          <w:numId w:val="1020"/>
        </w:numPr>
      </w:pPr>
      <w:r>
        <w:t xml:space="preserve">objet = être un fluide,</w:t>
      </w:r>
    </w:p>
    <w:p>
      <w:pPr>
        <w:numPr>
          <w:ilvl w:val="0"/>
          <w:numId w:val="1020"/>
        </w:numPr>
      </w:pPr>
      <w:r>
        <w:t xml:space="preserve">prédicat = retient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a fait à un réseau de neurones artificielles (perceptron) que l’on peut associé en couche pour développer des systèmes d’apprentissage profond :</w:t>
      </w:r>
    </w:p>
    <w:p>
      <w:pPr>
        <w:pStyle w:val="CaptionedFigure"/>
      </w:pPr>
      <w:r>
        <w:drawing>
          <wp:inline>
            <wp:extent cx="5334000" cy="3709697"/>
            <wp:effectExtent b="0" l="0" r="0" t="0"/>
            <wp:docPr descr="Réseaux de neurones (Nguyen, 2018)" title="" id="433" name="Picture"/>
            <a:graphic>
              <a:graphicData uri="http://schemas.openxmlformats.org/drawingml/2006/picture">
                <pic:pic>
                  <pic:nvPicPr>
                    <pic:cNvPr descr="images/reseaux-neurones.png" id="434" name="Picture"/>
                    <pic:cNvPicPr>
                      <a:picLocks noChangeArrowheads="1" noChangeAspect="1"/>
                    </pic:cNvPicPr>
                  </pic:nvPicPr>
                  <pic:blipFill>
                    <a:blip r:embed="rId432"/>
                    <a:stretch>
                      <a:fillRect/>
                    </a:stretch>
                  </pic:blipFill>
                  <pic:spPr bwMode="auto">
                    <a:xfrm>
                      <a:off x="0" y="0"/>
                      <a:ext cx="5334000" cy="3709697"/>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2.1</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intérioritéscf,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441" w:name="sec-propositionCrible"/>
    <w:p>
      <w:pPr>
        <w:pStyle w:val="Heading3"/>
      </w:pPr>
      <w:r>
        <w:t xml:space="preserve">2.7.1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2.3</w:t>
        </w:r>
      </w:hyperlink>
      <w:r>
        <w:t xml:space="preserve">. L’objet se décrit de manière arborescente de façon à définir les parties qui composent un élément. Chaque branche donne des détails supplémentaires sur l’objet suivant la forme logique : élément (sujet) – a pour partie (prédicat) → sous partie (objet). Par exemple, dans le cas de notre bibliographie, un des objets de la modélisation est défini par : livre → chapitre → paragraphe → phrase → mot →caractère. Le choix des niveaux de détail est subjectif, il dépend de la finalité que le modélisateur donne à son travail. Par exemple, pour analyser cette écosystème, il n’est pas nécessaire de différencier chaque caractères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2.5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le chercheur X (sujet) a pour partie (prédicat) le laboratoire Y (objet). 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auteur 1 (sujet) collabore avec (prédicat) auteur 2 (objet).</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2.4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435"/>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40" w:name="fig-TaxonomyIdeas"/>
          <w:p>
            <w:pPr>
              <w:pStyle w:val="Compact"/>
              <w:jc w:val="center"/>
            </w:pPr>
            <w:r>
              <w:drawing>
                <wp:inline>
                  <wp:extent cx="5334000" cy="3795229"/>
                  <wp:effectExtent b="0" l="0" r="0" t="0"/>
                  <wp:docPr descr="" title="" id="438" name="Picture"/>
                  <a:graphic>
                    <a:graphicData uri="http://schemas.openxmlformats.org/drawingml/2006/picture">
                      <pic:pic>
                        <pic:nvPicPr>
                          <pic:cNvPr descr="images/TaxonomyIdeas.png" id="439" name="Picture"/>
                          <pic:cNvPicPr>
                            <a:picLocks noChangeArrowheads="1" noChangeAspect="1"/>
                          </pic:cNvPicPr>
                        </pic:nvPicPr>
                        <pic:blipFill>
                          <a:blip r:embed="rId437"/>
                          <a:stretch>
                            <a:fillRect/>
                          </a:stretch>
                        </pic:blipFill>
                        <pic:spPr bwMode="auto">
                          <a:xfrm>
                            <a:off x="0" y="0"/>
                            <a:ext cx="5334000" cy="37952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2.27: Taxonomie des idées</w:t>
            </w:r>
          </w:p>
          <w:bookmarkEnd w:id="440"/>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r>
        <w:rPr>
          <w:bCs/>
          <w:b/>
        </w:rPr>
        <w:t xml:space="preserve">?@sec-sec-rapportsInstExis</w:t>
      </w:r>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r>
        <w:rPr>
          <w:bCs/>
          <w:b/>
        </w:rPr>
        <w:t xml:space="preserve">?@fig-contraintesRapports</w:t>
      </w:r>
      <w:r>
        <w:t xml:space="preserve"> </w:t>
      </w:r>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L’expressions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441"/>
    <w:bookmarkStart w:id="448" w:name="sec-usageCrible"/>
    <w:p>
      <w:pPr>
        <w:pStyle w:val="Heading3"/>
      </w:pPr>
      <w:r>
        <w:t xml:space="preserve">2.7.2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w:t>
      </w:r>
      <w:r>
        <w:t xml:space="preserve"> </w:t>
      </w:r>
      <w:r>
        <w:rPr>
          <w:bCs/>
          <w:b/>
        </w:rPr>
        <w:t xml:space="preserve">?@sec-part-cartoConnaissances</w:t>
      </w:r>
      <w:r>
        <w:t xml:space="preserve">,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simples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442"/>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444"/>
      </w:r>
      <w:r>
        <w:t xml:space="preserve">. Dans ce cas, l’objectivation du « qui » devient potentiellement beaucoup plus précise, car elle peut être mise en relation avec des données sociologiques voir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446"/>
      </w:r>
      <w:r>
        <w:t xml:space="preserve"> </w:t>
      </w:r>
      <w:r>
        <w:t xml:space="preserve">est particulièrement intéressante, car elle offre des références pérenne et détaillées pour les livres, les auteurs, les concepts. Dans ce cas, le positionnement du « quoi » est relativement complexe puisqu’il est extrêmement difficile de réduire une référence à une seul expression comme en témoigne les recherches sur le sens des documents</w:t>
      </w:r>
      <w:r>
        <w:t xml:space="preserve">(B. Bachimont, 2020; Lévy, 2023b)</w:t>
      </w:r>
      <w:r>
        <w:t xml:space="preserve">. Nous proposons d’utiliser une représentation simple du sens des texte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448"/>
    <w:bookmarkEnd w:id="449"/>
    <w:bookmarkStart w:id="456" w:name="sec-confianceDonnees"/>
    <w:p>
      <w:pPr>
        <w:pStyle w:val="Heading2"/>
      </w:pPr>
      <w:r>
        <w:t xml:space="preserve">2.8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450"/>
      </w:r>
      <w:r>
        <w:t xml:space="preserve">, sont composées d’un triplet sujet, objet et prédicat, par exemple : sujet=titre, objet=la vie devant soi, prédicat=est. Si on en croit les défenseurs du RDF et des technologies qui lui sont associé pour composer le Web Sémantique, cette formalisation de la connaissance en brique logiques élémentaires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455" w:name="fig-semanticWebStack"/>
          <w:p>
            <w:pPr>
              <w:pStyle w:val="Compact"/>
              <w:jc w:val="center"/>
            </w:pPr>
            <w:r>
              <w:drawing>
                <wp:inline>
                  <wp:extent cx="5334000" cy="5600700"/>
                  <wp:effectExtent b="0" l="0" r="0" t="0"/>
                  <wp:docPr descr="" title="" id="453" name="Picture"/>
                  <a:graphic>
                    <a:graphicData uri="http://schemas.openxmlformats.org/drawingml/2006/picture">
                      <pic:pic>
                        <pic:nvPicPr>
                          <pic:cNvPr descr="media/1000000100000258000002762CF3B23905723B38.png" id="454" name="Picture"/>
                          <pic:cNvPicPr>
                            <a:picLocks noChangeArrowheads="1" noChangeAspect="1"/>
                          </pic:cNvPicPr>
                        </pic:nvPicPr>
                        <pic:blipFill>
                          <a:blip r:embed="rId452"/>
                          <a:stretch>
                            <a:fillRect/>
                          </a:stretch>
                        </pic:blipFill>
                        <pic:spPr bwMode="auto">
                          <a:xfrm>
                            <a:off x="0" y="0"/>
                            <a:ext cx="5334000" cy="5600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2.28: Semantic Web Stack, Par W3C https://commons.wikimedia.org/wiki/File:Semantic_Web_Stack.png</w:t>
            </w:r>
          </w:p>
          <w:bookmarkEnd w:id="455"/>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A l’heure où la confiance dans les informations est mis à mal par les phénomènes de dé-information</w:t>
      </w:r>
      <w:r>
        <w:t xml:space="preserve"> </w:t>
      </w:r>
      <w:r>
        <w:t xml:space="preserve">(Bourassa et al., 2019)</w:t>
      </w:r>
      <w:r>
        <w:t xml:space="preserve">, il convient d’introduire pour chaque données une évaluation qui précise qu’elle est le niveau de confiance qu’une personne donne à une donnée afin de stimuler son esprit critique</w:t>
      </w:r>
      <w:r>
        <w:t xml:space="preserve"> </w:t>
      </w:r>
      <w:r>
        <w:t xml:space="preserve">(Desfriches Doria &amp; Meunier, 2021a)</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elles-même.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élaborer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2.5</w:t>
        </w:r>
      </w:hyperlink>
      <w:r>
        <w:t xml:space="preserve"> </w:t>
      </w:r>
      <w:r>
        <w:t xml:space="preserve">exprime entre une donnée du corpus</w:t>
      </w:r>
      <w:r>
        <w:t xml:space="preserve"> </w:t>
      </w:r>
      <w:hyperlink w:anchor="sec-espaceMateriels">
        <w:r>
          <w:rPr>
            <w:rStyle w:val="Hyperlink"/>
          </w:rPr>
          <w:t xml:space="preserve">Section 2.3</w:t>
        </w:r>
      </w:hyperlink>
      <w:r>
        <w:t xml:space="preserve"> </w:t>
      </w:r>
      <w:r>
        <w:t xml:space="preserve">et une valeur subjective. Cette dernière pourrait être simplement le concept de confiance que l’individu considère comme présente en cochant une case ou absente en laissant la case décoché. Pour fournir une valeur plus subtile, la case à cocher est remplacée par un curseur qui détermine l’importance de la confiance sur une échelle de 0 à 100. Pour être plus précis et en adéquation avec les propositions qu’Yves Citton avancent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2.7</w:t>
        </w:r>
      </w:hyperlink>
      <w:r>
        <w:t xml:space="preserve"> </w:t>
      </w:r>
      <w:r>
        <w:t xml:space="preserve">qui décompose la valeur en trois registres :</w:t>
      </w:r>
    </w:p>
    <w:p>
      <w:pPr>
        <w:numPr>
          <w:ilvl w:val="0"/>
          <w:numId w:val="1021"/>
        </w:numPr>
      </w:pPr>
      <w:r>
        <w:t xml:space="preserve">les « valeurs-utilités » qui définissent l’offre et la demande</w:t>
      </w:r>
    </w:p>
    <w:p>
      <w:pPr>
        <w:numPr>
          <w:ilvl w:val="0"/>
          <w:numId w:val="1021"/>
        </w:numPr>
      </w:pPr>
      <w:r>
        <w:t xml:space="preserve">les « valeurs-vérités » qui mesurent les gains en connaissances et plus largement les phénomènes de croyances, de confiance, les attentes</w:t>
      </w:r>
    </w:p>
    <w:p>
      <w:pPr>
        <w:numPr>
          <w:ilvl w:val="0"/>
          <w:numId w:val="1021"/>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1</w:t>
        </w:r>
      </w:hyperlink>
      <w:r>
        <w:t xml:space="preserve">. Les données que nous avons récoltés proviennent de nos propres évaluations ce qui peut créer des difficultés liées à la subjectivités des valeurs cf.</w:t>
      </w:r>
      <w:r>
        <w:t xml:space="preserve"> </w:t>
      </w:r>
      <w:hyperlink w:anchor="sec-personneEcoCon">
        <w:r>
          <w:rPr>
            <w:rStyle w:val="Hyperlink"/>
          </w:rPr>
          <w:t xml:space="preserve">Section 1.5</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22"/>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22"/>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3.8</w:t>
        </w:r>
      </w:hyperlink>
      <w:r>
        <w:t xml:space="preserve">.</w:t>
      </w:r>
    </w:p>
    <w:bookmarkEnd w:id="456"/>
    <w:bookmarkEnd w:id="457"/>
    <w:bookmarkStart w:id="471" w:name="sec-visees"/>
    <w:p>
      <w:pPr>
        <w:pStyle w:val="Heading1"/>
      </w:pPr>
      <w:r>
        <w:t xml:space="preserve">3. Perspectives scientifiques : échelles d’exploration et axes d’expérimentation</w:t>
      </w:r>
    </w:p>
    <w:p>
      <w:pPr>
        <w:pStyle w:val="FirstParagraph"/>
      </w:pPr>
      <w:r>
        <w:t xml:space="preserve">Au delà de nos positionnement actuels que nous venons de présenter</w:t>
      </w:r>
      <w:r>
        <w:t xml:space="preserve"> </w:t>
      </w:r>
      <w:hyperlink w:anchor="sec-posiSIC">
        <w:r>
          <w:rPr>
            <w:rStyle w:val="Hyperlink"/>
          </w:rPr>
          <w:t xml:space="preserve">Section 1.2</w:t>
        </w:r>
      </w:hyperlink>
      <w:r>
        <w:t xml:space="preserve"> </w:t>
      </w:r>
      <w:r>
        <w:t xml:space="preserve">notre travail de recherche se déploie suivant plusieurs perspectives que nous développeront ici suivant les diffférents niveaux d’échelles que nous explorons et les axes d’expérimentations que nous développons afin de mettre fin à un « amincissement du monde » et une représentation de la pensée en un réseau qui supprime la multiplicité des modes d’existences :</w:t>
      </w:r>
    </w:p>
    <w:p>
      <w:pPr>
        <w:pStyle w:val="BodyText"/>
      </w:pPr>
      <w:r>
        <w:t xml:space="preserve">&gt; « Tout se passe comme si la densité des modes d’existence, la pluralité des relations que nous pouvons entretenir avec les êtres qui forment nos milieux et qu’ils entretiennent entre eux, l’hétérogénéité de nos savoirs, cette « surabondance du réel » étaient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BodyText"/>
      </w:pPr>
      <w:r>
        <w:t xml:space="preserve">Ce qui nous importe ici c’est de lutter contre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bookmarkStart w:id="459" w:name="sec-echelleExploration"/>
    <w:p>
      <w:pPr>
        <w:pStyle w:val="Heading2"/>
      </w:pPr>
      <w:r>
        <w:t xml:space="preserve">3.1 Echelles d’exploration</w:t>
      </w:r>
    </w:p>
    <w:bookmarkStart w:id="458" w:name="sec-echelleLocale"/>
    <w:p>
      <w:pPr>
        <w:pStyle w:val="Heading3"/>
      </w:pPr>
      <w:r>
        <w:t xml:space="preserve">3.1.1 Echelle locale : produire une expression matérielle cohérente</w:t>
      </w:r>
    </w:p>
    <w:p>
      <w:pPr>
        <w:pStyle w:val="FirstParagraph"/>
      </w:pPr>
      <w:r>
        <w:t xml:space="preserve">Concevoir des outils sur des mobiles</w:t>
      </w:r>
    </w:p>
    <w:bookmarkEnd w:id="458"/>
    <w:bookmarkEnd w:id="459"/>
    <w:bookmarkStart w:id="460" w:name="sec-echelleGlobale"/>
    <w:p>
      <w:pPr>
        <w:pStyle w:val="Heading2"/>
      </w:pPr>
      <w:r>
        <w:t xml:space="preserve">3.2 Echelle globale : technologies intellectuelles collectives</w:t>
      </w:r>
    </w:p>
    <w:p>
      <w:pPr>
        <w:pStyle w:val="FirstParagraph"/>
      </w:pPr>
      <w:r>
        <w:t xml:space="preserve">Rendre interopérables les données produites</w:t>
      </w:r>
    </w:p>
    <w:bookmarkEnd w:id="460"/>
    <w:bookmarkStart w:id="461" w:name="sec-echelleSociale"/>
    <w:p>
      <w:pPr>
        <w:pStyle w:val="Heading2"/>
      </w:pPr>
      <w:r>
        <w:t xml:space="preserve">3.3 Echelle sociale : la communauté des enseignants chercheurs</w:t>
      </w:r>
    </w:p>
    <w:p>
      <w:pPr>
        <w:pStyle w:val="FirstParagraph"/>
      </w:pPr>
      <w:r>
        <w:t xml:space="preserve">Pas uniquement à l’université : tout acteur est à la fois chercheur et enseignant = explorateur et conteur.</w:t>
      </w:r>
    </w:p>
    <w:p>
      <w:pPr>
        <w:pStyle w:val="BodyText"/>
      </w:pPr>
      <w:r>
        <w:t xml:space="preserve">Détailler l’importance de ce point de vue dans le cadre de l’enseignement où la notion de gestion de l’information n’est pas évidente…</w:t>
      </w:r>
    </w:p>
    <w:bookmarkEnd w:id="461"/>
    <w:bookmarkStart w:id="462" w:name="sec-echelleConcetuelle"/>
    <w:p>
      <w:pPr>
        <w:pStyle w:val="Heading2"/>
      </w:pPr>
      <w:r>
        <w:t xml:space="preserve">3.4 Echelle conceptuelle : théoriser la modélisation des connaissances</w:t>
      </w:r>
    </w:p>
    <w:p>
      <w:pPr>
        <w:pStyle w:val="FirstParagraph"/>
      </w:pPr>
      <w:r>
        <w:t xml:space="preserve">Fournir une alternative qualitative à la théorie de l’information de shannon</w:t>
      </w:r>
    </w:p>
    <w:bookmarkEnd w:id="462"/>
    <w:bookmarkStart w:id="463" w:name="sec-axeIOT"/>
    <w:p>
      <w:pPr>
        <w:pStyle w:val="Heading2"/>
      </w:pPr>
      <w:r>
        <w:t xml:space="preserve">3.5 Axe internet des objets</w:t>
      </w:r>
    </w:p>
    <w:p>
      <w:pPr>
        <w:pStyle w:val="FirstParagraph"/>
      </w:pPr>
      <w:r>
        <w:t xml:space="preserve">Concevoir, développer et analyser les objets connectés dans un Internet omniprésent</w:t>
      </w:r>
    </w:p>
    <w:bookmarkEnd w:id="463"/>
    <w:bookmarkStart w:id="465" w:name="sec-axeGeneratif"/>
    <w:p>
      <w:pPr>
        <w:pStyle w:val="Heading2"/>
      </w:pPr>
      <w:r>
        <w:t xml:space="preserve">3.6 Axe écritures génératives</w:t>
      </w:r>
    </w:p>
    <w:p>
      <w:pPr>
        <w:pStyle w:val="FirstParagraph"/>
      </w:pPr>
      <w:r>
        <w:t xml:space="preserve">Les exemples de data visualisation ci dessus illustrent ce qui est en jeu</w:t>
      </w:r>
    </w:p>
    <w:p>
      <w:pPr>
        <w:pStyle w:val="BodyText"/>
      </w:pPr>
      <w:r>
        <w:t xml:space="preserve">Représentation paramétrique de données</w:t>
      </w:r>
    </w:p>
    <w:p>
      <w:pPr>
        <w:pStyle w:val="BodyText"/>
      </w:pPr>
      <w:r>
        <w:t xml:space="preserve">Traduction, transformation numérique ?</w:t>
      </w:r>
    </w:p>
    <w:p>
      <w:pPr>
        <w:pStyle w:val="BodyText"/>
      </w:pPr>
      <w:r>
        <w:t xml:space="preserve">Intelligibilité du modèle ?</w:t>
      </w:r>
    </w:p>
    <w:p>
      <w:pPr>
        <w:pStyle w:val="BodyText"/>
      </w:pPr>
      <w:r>
        <w:t xml:space="preserve">Choix entre spécificité, généricité et réutilisabilité ?</w:t>
      </w:r>
    </w:p>
    <w:p>
      <w:pPr>
        <w:pStyle w:val="BodyText"/>
      </w:pPr>
      <w:r>
        <w:t xml:space="preserve">cf. </w:t>
      </w:r>
      <w:hyperlink r:id="rId464">
        <w:r>
          <w:rPr>
            <w:rStyle w:val="Hyperlink"/>
          </w:rPr>
          <w:t xml:space="preserve">https://levelup.gitconnected.com/how-to-make-your-code-reusable-891ea5db415c</w:t>
        </w:r>
      </w:hyperlink>
    </w:p>
    <w:bookmarkEnd w:id="465"/>
    <w:bookmarkStart w:id="466" w:name="sec-axePlasticite"/>
    <w:p>
      <w:pPr>
        <w:pStyle w:val="Heading2"/>
      </w:pPr>
      <w:r>
        <w:t xml:space="preserve">3.7 Axe plasticité absolue</w:t>
      </w:r>
    </w:p>
    <w:p>
      <w:pPr>
        <w:pStyle w:val="FirstParagraph"/>
      </w:pPr>
      <w:r>
        <w:t xml:space="preserve">“Contrairement à l’élasticité, la plasticité n’a aucune promesse de retour. Les deux concepts suggèrent un point limite auquel le système se rompt. Cependant, le changement dans chacun est différent, car quelque chose d’élastique revient ou peut reprendre forme après son changement.</w:t>
      </w:r>
    </w:p>
    <w:p>
      <w:pPr>
        <w:pStyle w:val="BodyText"/>
      </w:pPr>
      <w:r>
        <w:t xml:space="preserve">Contrairement aux compréhensions du pouvoir, même aux formes subtiles de pouvoir disciplinaire, la plasticité à l’échelle de l’individu et de la polis représente la possibilité d’un changement sans sujétion, c’est-à-dire sans résistance. Plutôt que les relations de pouvoir qui font des sujets à l’image foucaldienne, on a la possibilité de concevoir ou de diriger des sujets qui n’ont aucun indice de ce qu’ils étaient avant, de sorte que quelque chose puisse résister.” mail Jean Max</w:t>
      </w:r>
    </w:p>
    <w:p>
      <w:pPr>
        <w:pStyle w:val="BodyText"/>
      </w:pPr>
      <w:r>
        <w:t xml:space="preserve">https://mail.google.com/mail/u/0/?tab=rm&amp;ogbl#inbox/FMfcgzGtwMVVsTKtkHmLcCDbcHMMTbbd</w:t>
      </w:r>
    </w:p>
    <w:bookmarkEnd w:id="466"/>
    <w:bookmarkStart w:id="467" w:name="sec-axeDesignConnaissances"/>
    <w:p>
      <w:pPr>
        <w:pStyle w:val="Heading2"/>
      </w:pPr>
      <w:r>
        <w:t xml:space="preserve">3.8 Axe design des connaissances</w:t>
      </w:r>
    </w:p>
    <w:p>
      <w:pPr>
        <w:pStyle w:val="FirstParagraph"/>
      </w:pPr>
      <w:r>
        <w:t xml:space="preserve">Modélisation des connaissances et conception des outils pour la manipuler dans les environnements d’apprentissage humain</w:t>
      </w:r>
    </w:p>
    <w:p>
      <w:pPr>
        <w:pStyle w:val="BodyText"/>
      </w:pPr>
      <w:r>
        <w:t xml:space="preserve">Mise en situation d’une potentialité de connaissances</w:t>
      </w:r>
    </w:p>
    <w:p>
      <w:pPr>
        <w:pStyle w:val="BodyText"/>
      </w:pPr>
      <w:r>
        <w:t xml:space="preserve">Comment concevoir une ergonomie des interfaces cognitives ?</w:t>
      </w:r>
    </w:p>
    <w:p>
      <w:pPr>
        <w:pStyle w:val="BodyText"/>
      </w:pPr>
      <w:r>
        <w:t xml:space="preserve">Passage de l’individuel au collectif ?</w:t>
      </w:r>
    </w:p>
    <w:p>
      <w:pPr>
        <w:pStyle w:val="BodyText"/>
      </w:pPr>
      <w:r>
        <w:t xml:space="preserve">- premier langage : enseignement de math et des stats</w:t>
      </w:r>
    </w:p>
    <w:p>
      <w:pPr>
        <w:pStyle w:val="BodyText"/>
      </w:pPr>
      <w:r>
        <w:t xml:space="preserve">Modèle sémiologique + anthropologique + onto éthique</w:t>
      </w:r>
    </w:p>
    <w:bookmarkEnd w:id="467"/>
    <w:bookmarkStart w:id="468" w:name="sec-axeIntelCo"/>
    <w:p>
      <w:pPr>
        <w:pStyle w:val="Heading2"/>
      </w:pPr>
      <w:r>
        <w:t xml:space="preserve">3.9 Axe intelligences collectives</w:t>
      </w:r>
    </w:p>
    <w:p>
      <w:pPr>
        <w:pStyle w:val="FirstParagraph"/>
      </w:pPr>
      <w:r>
        <w:t xml:space="preserve">Interopérabilité et réflexivité d’une conversation créative</w:t>
      </w:r>
    </w:p>
    <w:p>
      <w:pPr>
        <w:pStyle w:val="BodyText"/>
      </w:pPr>
      <w:r>
        <w:t xml:space="preserve">=&gt; fournir les outils pour une quantification de l’information et la stimulation des communications</w:t>
      </w:r>
    </w:p>
    <w:bookmarkEnd w:id="468"/>
    <w:bookmarkStart w:id="470" w:name="sec-axeFormaConsensus"/>
    <w:p>
      <w:pPr>
        <w:pStyle w:val="Heading2"/>
      </w:pPr>
      <w:r>
        <w:t xml:space="preserve">3.10 Axes formalisation du consensus</w:t>
      </w:r>
    </w:p>
    <w:p>
      <w:pPr>
        <w:pStyle w:val="FirstParagraph"/>
      </w:pPr>
      <w:r>
        <w:t xml:space="preserve">Méthodes et outils du web sémantique et du LOD : la puissance de la norme.</w:t>
      </w:r>
    </w:p>
    <w:p>
      <w:pPr>
        <w:pStyle w:val="BodyText"/>
      </w:pPr>
      <w:r>
        <w:t xml:space="preserve">Pour une éthique de la discussion par une formalisation des échanges ayant pour but l’éducation de l’esprit critique par la stimulation des trois pouvoirs de discerner, choisir, agir.</w:t>
      </w:r>
    </w:p>
    <w:p>
      <w:pPr>
        <w:pStyle w:val="BodyText"/>
      </w:pPr>
      <w:r>
        <w:t xml:space="preserve">Les deux textes ci-dessus ont été générés par deux IA à partir du titre de la séance du séminaire. Leur pertinence toute relative illustre les effets du pilotage par les données du métier de chercheur en SHS d’un point de vue éthique : stimuler</w:t>
      </w:r>
      <w:r>
        <w:t xml:space="preserve"> </w:t>
      </w:r>
      <w:r>
        <w:t xml:space="preserve">“</w:t>
      </w:r>
      <w:r>
        <w:t xml:space="preserve">une formation de la volonté</w:t>
      </w:r>
      <w:r>
        <w:t xml:space="preserve">”</w:t>
      </w:r>
      <w:r>
        <w:t xml:space="preserve"> </w:t>
      </w:r>
      <w:r>
        <w:t xml:space="preserve">à travers des règles pratiques d’échanges (Habermas 2013, p. 22).</w:t>
      </w:r>
    </w:p>
    <w:p>
      <w:pPr>
        <w:pStyle w:val="BodyText"/>
      </w:pPr>
      <w:r>
        <w:t xml:space="preserve">L’enjeu de l’éthique est d’exercer sa</w:t>
      </w:r>
      <w:r>
        <w:t xml:space="preserve"> </w:t>
      </w:r>
      <w:r>
        <w:t xml:space="preserve">“</w:t>
      </w:r>
      <w:r>
        <w:t xml:space="preserve">volonté</w:t>
      </w:r>
      <w:r>
        <w:t xml:space="preserve">”</w:t>
      </w:r>
      <w:r>
        <w:t xml:space="preserve"> </w:t>
      </w:r>
      <w:r>
        <w:t xml:space="preserve">en tant qu’individu ou qu’institution face à une situation de choix :</w:t>
      </w:r>
      <w:r>
        <w:t xml:space="preserve"> </w:t>
      </w:r>
      <w:r>
        <w:t xml:space="preserve">“</w:t>
      </w:r>
      <w:r>
        <w:t xml:space="preserve">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w:t>
      </w:r>
      <w:r>
        <w:t xml:space="preserve">”</w:t>
      </w:r>
      <w:r>
        <w:t xml:space="preserve"> </w:t>
      </w:r>
      <w:r>
        <w:t xml:space="preserve">(ibid. p. 96). Contrairement à une volonté politique, la</w:t>
      </w:r>
      <w:r>
        <w:t xml:space="preserve"> </w:t>
      </w:r>
      <w:r>
        <w:t xml:space="preserve">“</w:t>
      </w:r>
      <w:r>
        <w:t xml:space="preserve">volonté éthique</w:t>
      </w:r>
      <w:r>
        <w:t xml:space="preserve">”</w:t>
      </w:r>
      <w:r>
        <w:t xml:space="preserve"> </w:t>
      </w:r>
      <w:r>
        <w:t xml:space="preserve">ne s’exerce pas sur les</w:t>
      </w:r>
      <w:r>
        <w:t xml:space="preserve"> </w:t>
      </w:r>
      <w:r>
        <w:t xml:space="preserve">“</w:t>
      </w:r>
      <w:r>
        <w:t xml:space="preserve">physicalités</w:t>
      </w:r>
      <w:r>
        <w:t xml:space="preserve">”</w:t>
      </w:r>
      <w:r>
        <w:t xml:space="preserve"> </w:t>
      </w:r>
      <w:r>
        <w:t xml:space="preserve">(Descola 2005) extérieures en cherchant par exemple à éliminer les biais inhérents à toutes informations nécessairement inadéquates, mais se pratique dans la dimension des idées, celle de</w:t>
      </w:r>
      <w:r>
        <w:t xml:space="preserve"> </w:t>
      </w:r>
      <w:r>
        <w:t xml:space="preserve">“</w:t>
      </w:r>
      <w:r>
        <w:t xml:space="preserve">l’intériorité</w:t>
      </w:r>
      <w:r>
        <w:t xml:space="preserve">”</w:t>
      </w:r>
      <w:r>
        <w:t xml:space="preserve"> </w:t>
      </w:r>
      <w:r>
        <w:t xml:space="preserve">(ibid.) individuelle ou collective :</w:t>
      </w:r>
    </w:p>
    <w:p>
      <w:pPr>
        <w:pStyle w:val="BodyText"/>
      </w:pPr>
      <w:r>
        <w:t xml:space="preserve">“</w:t>
      </w:r>
      <w:r>
        <w:t xml:space="preserve">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w:t>
      </w:r>
      <w:r>
        <w:t xml:space="preserve">quelque chose de commun”.” (Deleuze 1968 p. 259)</w:t>
      </w:r>
    </w:p>
    <w:p>
      <w:pPr>
        <w:pStyle w:val="BodyText"/>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 de diagrammes (Guattari 1989), de dispositifs (Gardies 2012)… dont ceux utilisés aujourd’hui par les chercheurs pour produire grâce au numérique une infinité de</w:t>
      </w:r>
      <w:r>
        <w:t xml:space="preserve"> </w:t>
      </w:r>
      <w:r>
        <w:t xml:space="preserve">“</w:t>
      </w:r>
      <w:r>
        <w:t xml:space="preserve">physicalités</w:t>
      </w:r>
      <w:r>
        <w:t xml:space="preserve">”</w:t>
      </w:r>
      <w:r>
        <w:t xml:space="preserve">, de documents, de données, de ressources. Ce développement exponentiel des physicalités renvoie les chercheurs à deux questions éthiques fondamentales :</w:t>
      </w:r>
    </w:p>
    <w:p>
      <w:pPr>
        <w:pStyle w:val="BodyText"/>
      </w:pPr>
      <w:r>
        <w:t xml:space="preserve">Comment exercer nos volontés éthiques dans cette noosphère pilotée exclusivement par des machines ? Peut-on concevoir des documents pilotés par des données (https://d3js.org/) dédiés à l’exercice de la volonté éthique ?</w:t>
      </w:r>
    </w:p>
    <w:bookmarkStart w:id="469" w:name="ethique-morale"/>
    <w:p>
      <w:pPr>
        <w:pStyle w:val="Heading4"/>
      </w:pPr>
      <w:r>
        <w:t xml:space="preserve">3.10.0.1 Ethique &lt;&gt; morale</w:t>
      </w:r>
    </w:p>
    <w:p>
      <w:pPr>
        <w:pStyle w:val="FirstParagraph"/>
      </w:pPr>
      <w:r>
        <w:t xml:space="preserve">Il est fondamental de distinguer l’éthique de la morale d’en une optique de formation à l’esprit critique car il est nécessaire de bien connaître la différence entre une démarche éthique qui consiste à connaître ce qu’on est et une démarche morale qui se focalise sur l’acceptabilité sociale de ses action. Dès lors lorsque Dewey &amp; Tufs confondent moral et éthique en ne distinguant pas le « bon » et le « mauvais » du « bien » et du « mal » ils contribuent à déresponsabilisé l’individu dans son apprentissage de l’esprit critique :</w:t>
      </w:r>
    </w:p>
    <w:p>
      <w:pPr>
        <w:pStyle w:val="BodyText"/>
      </w:pPr>
      <w:r>
        <w:t xml:space="preserve">« L’éthique est la science qui traite de la conduite en tant que l’on peut dire de celle-ci qu’elle est bonne ou mauvaise, qu’elle engage un jugement en termes de bien ou de mal. » (Dewey &amp; Tufts, 2021a, paragr. 1)§ 1</w:t>
      </w:r>
    </w:p>
    <w:p>
      <w:pPr>
        <w:pStyle w:val="BodyText"/>
      </w:pPr>
      <w:r>
        <w:t xml:space="preserve">Ce qui se confirme quand ils excluent le goût comme élément du processus de valorisation à l’inverse de Spinoza dans sa lettre à Pliyenberg qui au contraire met l’accent le goût comme moteur d’une manière d’être.</w:t>
      </w:r>
    </w:p>
    <w:p>
      <w:pPr>
        <w:pStyle w:val="BodyText"/>
      </w:pPr>
      <w:r>
        <w:t xml:space="preserve">« La différence entre le haut et le bas de cette échelle n’est pas une affaire de goût mais de choix consciemment poursuivi. » (Dewey &amp; Tufts, 2021, § 13)</w:t>
      </w:r>
    </w:p>
    <w:p>
      <w:pPr>
        <w:pStyle w:val="BodyText"/>
      </w:pPr>
      <w:r>
        <w:t xml:space="preserve">Dewey &amp; Tufts le reconnaissent quand ils insistent sur la nécessité de goûter la vie autrement que par les mécanismes logico-mathématiques :</w:t>
      </w:r>
    </w:p>
    <w:p>
      <w:pPr>
        <w:pStyle w:val="BodyText"/>
      </w:pPr>
      <w:r>
        <w:t xml:space="preserve">« Si l’économie domine la vie — et si l’ordre économique s’appuie principalement sur le profit comme motif au lieu de faire droit à d’autres motifs comme l’excellence professionnelle, la maîtrise d’un métier, le souci d’une juste rémunération —, nous courons le danger de voir cette partie de notre vie qui devrait être subordonnée à toutes les autres valeurs et à tous les autres intérêts devenir la finalité ultime de nos existences. Nos vies ne peuvent se réduire à des bilans comptables. Lorsque la richesse est notre objectif principal, pour ne pas dire le seul, tout ce qui fait le sel de la vie — l’amour, la justice, la connaissance, la beauté — risque de passer au second plan. […] La vérité est que faire du profit et de la richesse le but ultime de l’existence revient à se méprendre gravement sur ce que doit être le sens d’une vie.» (Dewey &amp; Tufts, 2021b, §. 39)</w:t>
      </w:r>
    </w:p>
    <w:bookmarkEnd w:id="469"/>
    <w:bookmarkEnd w:id="470"/>
    <w:bookmarkEnd w:id="471"/>
    <w:bookmarkStart w:id="488" w:name="sec-frayages"/>
    <w:p>
      <w:pPr>
        <w:pStyle w:val="Heading1"/>
      </w:pPr>
      <w:r>
        <w:t xml:space="preserve">4. Frayages intellectuels : les étapes d’une pensée</w:t>
      </w:r>
    </w:p>
    <w:bookmarkStart w:id="474" w:name="X771f2bd2b6086fa8d4d464070b64a8fbd1b5835"/>
    <w:p>
      <w:pPr>
        <w:pStyle w:val="Heading2"/>
      </w:pPr>
      <w:r>
        <w:t xml:space="preserve">4.1 De l’histoire de l’art aux sciences de l’information et de la communication</w:t>
      </w:r>
    </w:p>
    <w:p>
      <w:pPr>
        <w:pStyle w:val="FirstParagraph"/>
      </w:pPr>
      <w:r>
        <w:t xml:space="preserve">La chance de découvrir l’art de toute les époques et par là d’apprendre à voir par la pratique intensive des œuvres et leurs analyses complexes.</w:t>
      </w:r>
    </w:p>
    <w:p>
      <w:pPr>
        <w:pStyle w:val="BodyText"/>
      </w:pPr>
      <w:r>
        <w:t xml:space="preserve">La gravure un modèle de diffusion à grande échelle et une première approche de l’histoire du goût à travers une exploration quali-quanti des catalogues de ventes</w:t>
      </w:r>
    </w:p>
    <w:p>
      <w:pPr>
        <w:pStyle w:val="BodyText"/>
      </w:pPr>
      <w:r>
        <w:t xml:space="preserve">John Cage, la découverte du chaos et des processus de chance</w:t>
      </w:r>
    </w:p>
    <w:p>
      <w:pPr>
        <w:pStyle w:val="BodyText"/>
      </w:pPr>
      <w:r>
        <w:t xml:space="preserve">Premières rencontres intellectuelles à la Tourette : Michel Serres, Regis Debray, l’histoire culturelle, les frères dominicains, la bibliothèque : Foucault…</w:t>
      </w:r>
    </w:p>
    <w:p>
      <w:pPr>
        <w:pStyle w:val="BodyText"/>
      </w:pPr>
      <w:r>
        <w:t xml:space="preserve">L’intuition d’une machine à stimuler les connaissances par une mise en situation cinestésique…</w:t>
      </w:r>
    </w:p>
    <w:p>
      <w:pPr>
        <w:pStyle w:val="BodyText"/>
      </w:pPr>
      <w:r>
        <w:t xml:space="preserve">Les premiers outils informatiques avec hypercard : le générateur automatique de philosophie</w:t>
      </w:r>
    </w:p>
    <w:p>
      <w:pPr>
        <w:pStyle w:val="BodyText"/>
      </w:pPr>
      <w:r>
        <w:t xml:space="preserve">La rencontre avec Balpe et Imad et le travail sur les agents autonomes, l’influence de Descartes pour le voyage… premières expériences professionnelles</w:t>
      </w:r>
    </w:p>
    <w:bookmarkStart w:id="472" w:name="Xe92e53b67d146c9f5d442f3bf75ce3777a4b175"/>
    <w:p>
      <w:pPr>
        <w:pStyle w:val="Heading3"/>
      </w:pPr>
      <w:r>
        <w:t xml:space="preserve">4.1.1 Evolution du projet de jardin des connaissances</w:t>
      </w:r>
    </w:p>
    <w:p>
      <w:pPr>
        <w:pStyle w:val="FirstParagraph"/>
      </w:pPr>
      <w:r>
        <w:t xml:space="preserve">Reprendre texte du bouquin avec modification</w:t>
      </w:r>
    </w:p>
    <w:bookmarkEnd w:id="472"/>
    <w:bookmarkStart w:id="473" w:name="X6766cbf99a17b2610a363c1a21e34206038a9ec"/>
    <w:p>
      <w:pPr>
        <w:pStyle w:val="Heading3"/>
      </w:pPr>
      <w:r>
        <w:t xml:space="preserve">4.1.2 Théorisation des écosystèmes de connaissances</w:t>
      </w:r>
    </w:p>
    <w:p>
      <w:pPr>
        <w:pStyle w:val="FirstParagraph"/>
      </w:pPr>
      <w:r>
        <w:t xml:space="preserve">La démarche de thèse</w:t>
      </w:r>
    </w:p>
    <w:p>
      <w:pPr>
        <w:pStyle w:val="BodyText"/>
      </w:pPr>
      <w:r>
        <w:t xml:space="preserve">les articles successifs autour de la modélisation des écosystèmes</w:t>
      </w:r>
    </w:p>
    <w:p>
      <w:pPr>
        <w:pStyle w:val="BodyText"/>
      </w:pPr>
      <w:r>
        <w:t xml:space="preserve">comparaison des schémas depuis celui du jardin, puis du premier diagramme dans la thèse, celui des genres de connaissances, puis celui avec l’acteur en référence à Latour</w:t>
      </w:r>
    </w:p>
    <w:p>
      <w:pPr>
        <w:pStyle w:val="BodyText"/>
      </w:pPr>
      <w:r>
        <w:t xml:space="preserve">Calculer la complexité d’un point de vue</w:t>
      </w:r>
    </w:p>
    <w:bookmarkEnd w:id="473"/>
    <w:bookmarkEnd w:id="474"/>
    <w:bookmarkStart w:id="476" w:name="X0d4f0b966bf2e0d6614df3764075084707306cd"/>
    <w:p>
      <w:pPr>
        <w:pStyle w:val="Heading2"/>
      </w:pPr>
      <w:r>
        <w:t xml:space="preserve">4.2 Mise en pratique d’une méthode de modélisation et d’analyse de l’information et de la communication</w:t>
      </w:r>
    </w:p>
    <w:bookmarkStart w:id="475" w:name="cours-et-ateliers"/>
    <w:p>
      <w:pPr>
        <w:pStyle w:val="Heading4"/>
      </w:pPr>
      <w:r>
        <w:t xml:space="preserve">4.2.0.1 Cours et ateliers</w:t>
      </w:r>
    </w:p>
    <w:p>
      <w:pPr>
        <w:pStyle w:val="FirstParagraph"/>
      </w:pPr>
      <w:r>
        <w:t xml:space="preserve">les expériences d’enseignement pour faire comprendre la notion complexe :</w:t>
      </w:r>
    </w:p>
    <w:p>
      <w:pPr>
        <w:pStyle w:val="BodyText"/>
      </w:pPr>
      <w:r>
        <w:t xml:space="preserve">- exhaustivité VS problématiser</w:t>
      </w:r>
    </w:p>
    <w:p>
      <w:pPr>
        <w:pStyle w:val="BodyText"/>
      </w:pPr>
      <w:r>
        <w:t xml:space="preserve">- la difficulté de choisir le statut de l’information</w:t>
      </w:r>
    </w:p>
    <w:p>
      <w:pPr>
        <w:pStyle w:val="BodyText"/>
      </w:pPr>
      <w:r>
        <w:t xml:space="preserve">- le respect des contraintes graphiques</w:t>
      </w:r>
    </w:p>
    <w:p>
      <w:pPr>
        <w:pStyle w:val="BodyText"/>
      </w:pPr>
      <w:r>
        <w:t xml:space="preserve">- a quoi ça sert ?</w:t>
      </w:r>
    </w:p>
    <w:bookmarkEnd w:id="475"/>
    <w:bookmarkEnd w:id="476"/>
    <w:bookmarkStart w:id="487" w:name="sec-projetsRecherche"/>
    <w:p>
      <w:pPr>
        <w:pStyle w:val="Heading2"/>
      </w:pPr>
      <w:r>
        <w:t xml:space="preserve">4.3 Projet de recherche en humanités numériques</w:t>
      </w:r>
    </w:p>
    <w:p>
      <w:pPr>
        <w:pStyle w:val="FirstParagraph"/>
      </w:pPr>
      <w:r>
        <w:t xml:space="preserve">- les bulletins diplomatiques de la sciences</w:t>
      </w:r>
    </w:p>
    <w:p>
      <w:pPr>
        <w:pStyle w:val="BodyText"/>
      </w:pPr>
      <w:r>
        <w:t xml:space="preserve">- biolographes</w:t>
      </w:r>
    </w:p>
    <w:p>
      <w:pPr>
        <w:pStyle w:val="BodyText"/>
      </w:pPr>
      <w:r>
        <w:t xml:space="preserve">- les données sur la poésie</w:t>
      </w:r>
    </w:p>
    <w:p>
      <w:pPr>
        <w:pStyle w:val="BodyText"/>
      </w:pPr>
      <w:r>
        <w:t xml:space="preserve">- Aliento</w:t>
      </w:r>
    </w:p>
    <w:p>
      <w:pPr>
        <w:pStyle w:val="BodyText"/>
      </w:pPr>
      <w:r>
        <w:t xml:space="preserve">- L’internet des objets</w:t>
      </w:r>
    </w:p>
    <w:p>
      <w:pPr>
        <w:pStyle w:val="BodyText"/>
      </w:pPr>
      <w:r>
        <w:t xml:space="preserve">- l’évaluation des activités politiques</w:t>
      </w:r>
    </w:p>
    <w:p>
      <w:pPr>
        <w:pStyle w:val="BodyText"/>
      </w:pPr>
      <w:r>
        <w:t xml:space="preserve">- SMEL</w:t>
      </w:r>
    </w:p>
    <w:bookmarkStart w:id="477" w:name="sec-projetArcanes"/>
    <w:p>
      <w:pPr>
        <w:pStyle w:val="Heading3"/>
      </w:pPr>
      <w:r>
        <w:t xml:space="preserve">4.3.1 2019 – présent : ARCANES</w:t>
      </w:r>
    </w:p>
    <w:p>
      <w:pPr>
        <w:pStyle w:val="FirstParagraph"/>
      </w:pPr>
      <w:r>
        <w:t xml:space="preserve">Des arts trompeurs à la post-vérité : régimes d’authenticité en contexte numérique</w:t>
      </w:r>
    </w:p>
    <w:p>
      <w:pPr>
        <w:pStyle w:val="BodyText"/>
      </w:pPr>
      <w:r>
        <w:t xml:space="preserve">Subvention CRSH – Savoir : 256 000 $</w:t>
      </w:r>
    </w:p>
    <w:p>
      <w:pPr>
        <w:pStyle w:val="BodyText"/>
      </w:pPr>
      <w:r>
        <w:t xml:space="preserve">Le projet Arcanes comporte deux volets. Le premier volet explore les processus de production du sens, les filiations historiques et intermédiales ainsi que les dynamiques de médiation, tout comme les divers dispositifs et les processus d’éditorialisation dans le sillon des humanités et des cultures numériques.</w:t>
      </w:r>
    </w:p>
    <w:p>
      <w:pPr>
        <w:pStyle w:val="BodyText"/>
      </w:pPr>
      <w:r>
        <w:t xml:space="preserve">Le deuxième volet interroge les puissances du faux, les mécanismes du leurre ainsi que les stratégies d’illusion tels qu’ils se manifestent dans les arts – que nous qualifions « d’arts trompeurs » -, la littérature,  les pratiques médiatiques et l’écosystème socionumérique actuel.</w:t>
      </w:r>
    </w:p>
    <w:p>
      <w:pPr>
        <w:pStyle w:val="BodyText"/>
      </w:pPr>
      <w:r>
        <w:t xml:space="preserve">https://crilcq.arcanes.ca/ </w:t>
      </w:r>
    </w:p>
    <w:bookmarkEnd w:id="477"/>
    <w:bookmarkStart w:id="478" w:name="sec-projetPolemika"/>
    <w:p>
      <w:pPr>
        <w:pStyle w:val="Heading3"/>
      </w:pPr>
      <w:r>
        <w:t xml:space="preserve">4.3.2 2018 – 2021 : POLEMIKA</w:t>
      </w:r>
    </w:p>
    <w:p>
      <w:pPr>
        <w:pStyle w:val="FirstParagraph"/>
      </w:pPr>
      <w:r>
        <w:t xml:space="preserve">Génération automatique d’arguments pour l’éducation à l’esprit critique</w:t>
      </w:r>
    </w:p>
    <w:p>
      <w:pPr>
        <w:pStyle w:val="BodyText"/>
      </w:pPr>
      <w:r>
        <w:t xml:space="preserve">Subvention Région Ile de France : 30 800 € </w:t>
      </w:r>
    </w:p>
    <w:p>
      <w:pPr>
        <w:pStyle w:val="BodyText"/>
      </w:pPr>
      <w:r>
        <w:t xml:space="preserve">Subvention ArTec : 5 000 €</w:t>
      </w:r>
    </w:p>
    <w:p>
      <w:pPr>
        <w:pStyle w:val="BodyText"/>
      </w:pPr>
      <w:r>
        <w:t xml:space="preserve">Ce projet de recherche vise à expérimenter des processus innovants de formation à l’esprit critique. Le premier volet dont nous devrions obtenir le financer par les</w:t>
      </w:r>
      <w:r>
        <w:t xml:space="preserve"> </w:t>
      </w:r>
      <w:r>
        <w:t xml:space="preserve">“</w:t>
      </w:r>
      <w:r>
        <w:t xml:space="preserve">Trophées de l’innovation en Ile de France</w:t>
      </w:r>
      <w:r>
        <w:t xml:space="preserve">”</w:t>
      </w:r>
      <w:r>
        <w:t xml:space="preserve"> </w:t>
      </w:r>
      <w:r>
        <w:t xml:space="preserve">se centre sur le développement informatique d’un générateur automatique d’arguments sous forme de Web App, qui sert d’interface d’interaction avec les utilisateurs, et de moyen de collecte de données sur les émotions suscitées par la génération des contre-propositions.</w:t>
      </w:r>
    </w:p>
    <w:p>
      <w:pPr>
        <w:pStyle w:val="BodyText"/>
      </w:pPr>
      <w:r>
        <w:t xml:space="preserve">En articulation avec ce projet, l’objet du projet Polemik’Art financer par ArTec consiste à 1) concevoir des modalités d’interactions humaines et numériques avec des dispositifs de mise en scène du générateur d’arguments développé dans POLEMIKA, 2) étudier le rôle des émotions dans la réception de ces mises en scène de contre-propositions, 3) évaluer l’influence de la participation des publics sur l’évolution de leurs émotions. https://polemika.univ-paris8.fr/</w:t>
      </w:r>
    </w:p>
    <w:bookmarkEnd w:id="478"/>
    <w:bookmarkStart w:id="479" w:name="sec-projetGEVU"/>
    <w:p>
      <w:pPr>
        <w:pStyle w:val="Heading3"/>
      </w:pPr>
      <w:r>
        <w:t xml:space="preserve">4.3.3 2010 – 2013 : GEVU</w:t>
      </w:r>
    </w:p>
    <w:p>
      <w:pPr>
        <w:pStyle w:val="FirstParagraph"/>
      </w:pPr>
      <w:r>
        <w:t xml:space="preserve">Outil d’intelligence collective pour le diagnostic de l’accessibilité des bâtiments et des voiries</w:t>
      </w:r>
    </w:p>
    <w:p>
      <w:pPr>
        <w:pStyle w:val="BodyText"/>
      </w:pPr>
      <w:r>
        <w:t xml:space="preserve">Contrat de recherche de l’université de Lille : 80 000 € </w:t>
      </w:r>
    </w:p>
    <w:p>
      <w:pPr>
        <w:pStyle w:val="BodyText"/>
      </w:pPr>
      <w:r>
        <w:t xml:space="preserve">Ce travail de recherche interdisciplinaire inclut des approches de géographie, d’urbanisme, d’ergonomie, de science de l’information, de design d’information et de pédagogie. L’objectif commun consiste à développer, en partenariat avec un OPH, un outil d’intelligence collective pour le diagnostic de l’accessibilité des bâtiments et des voiries : GEVU. Les spécificités de cette application Web apportent des bénéfices certains aux acteurs du logement social notamment en terme de visualisation et d’analyse des territoires mais aussi concernant la communication entre les acteurs. Il nous a aussi permis de mettre en place des méthodes de modélisation des écosystèmes d’information et de confronter nos approches dans le cadre d’un atelier de conception coopérative, pour une conduite de projets en référence à l’homme..</w:t>
      </w:r>
    </w:p>
    <w:bookmarkEnd w:id="479"/>
    <w:bookmarkStart w:id="480" w:name="sec-ateliersGenerateur"/>
    <w:p>
      <w:pPr>
        <w:pStyle w:val="Heading3"/>
      </w:pPr>
      <w:r>
        <w:t xml:space="preserve">4.3.4 Ateliers de littérature générative</w:t>
      </w:r>
    </w:p>
    <w:p>
      <w:pPr>
        <w:pStyle w:val="FirstParagraph"/>
      </w:pPr>
      <w:r>
        <w:t xml:space="preserve">« Revaz (2009) définit ainsi les propriétés communes à tous les récits :</w:t>
      </w:r>
    </w:p>
    <w:p>
      <w:pPr>
        <w:numPr>
          <w:ilvl w:val="0"/>
          <w:numId w:val="1023"/>
        </w:numPr>
        <w:pStyle w:val="Compact"/>
      </w:pPr>
      <w:r>
        <w:t xml:space="preserve">Une représentation d’actions,</w:t>
      </w:r>
    </w:p>
    <w:p>
      <w:pPr>
        <w:numPr>
          <w:ilvl w:val="0"/>
          <w:numId w:val="1023"/>
        </w:numPr>
        <w:pStyle w:val="Compact"/>
      </w:pPr>
      <w:r>
        <w:t xml:space="preserve">Un déroulement chronologique,</w:t>
      </w:r>
    </w:p>
    <w:p>
      <w:pPr>
        <w:numPr>
          <w:ilvl w:val="0"/>
          <w:numId w:val="1023"/>
        </w:numPr>
        <w:pStyle w:val="Compact"/>
      </w:pPr>
      <w:r>
        <w:t xml:space="preserve">Un enchaînement causal,</w:t>
      </w:r>
    </w:p>
    <w:p>
      <w:pPr>
        <w:numPr>
          <w:ilvl w:val="0"/>
          <w:numId w:val="1023"/>
        </w:numPr>
        <w:pStyle w:val="Compact"/>
      </w:pPr>
      <w:r>
        <w:t xml:space="preserve">Une transformation (renversement) entre l’état initial et l’état final,</w:t>
      </w:r>
    </w:p>
    <w:p>
      <w:pPr>
        <w:numPr>
          <w:ilvl w:val="0"/>
          <w:numId w:val="1023"/>
        </w:numPr>
        <w:pStyle w:val="Compact"/>
      </w:pPr>
      <w:r>
        <w:t xml:space="preserve">Un développement inhabituel ou non prévisible de l’action. »</w:t>
      </w:r>
    </w:p>
    <w:p>
      <w:pPr>
        <w:numPr>
          <w:ilvl w:val="0"/>
          <w:numId w:val="1023"/>
        </w:numPr>
        <w:pStyle w:val="Compact"/>
      </w:pPr>
      <w:r>
        <w:t xml:space="preserve">https://intelligibilite-numerique.numerev.com/manifeste</w:t>
      </w:r>
    </w:p>
    <w:p>
      <w:pPr>
        <w:pStyle w:val="FirstParagraph"/>
      </w:pPr>
      <w:r>
        <w:t xml:space="preserve">- Lire Ensemble</w:t>
      </w:r>
    </w:p>
    <w:p>
      <w:pPr>
        <w:pStyle w:val="BodyText"/>
      </w:pPr>
      <w:r>
        <w:t xml:space="preserve">- cartographie deleuze</w:t>
      </w:r>
    </w:p>
    <w:p>
      <w:pPr>
        <w:pStyle w:val="BodyText"/>
      </w:pPr>
      <w:r>
        <w:t xml:space="preserve">- biolographes</w:t>
      </w:r>
    </w:p>
    <w:p>
      <w:pPr>
        <w:pStyle w:val="BodyText"/>
      </w:pPr>
      <w:r>
        <w:t xml:space="preserve">- Application développée spécifiquement pour le travail d’HDR.</w:t>
      </w:r>
    </w:p>
    <w:p>
      <w:pPr>
        <w:pStyle w:val="BodyText"/>
      </w:pPr>
      <w:r>
        <w:t xml:space="preserve">- Pédagothèque Psy</w:t>
      </w:r>
    </w:p>
    <w:p>
      <w:pPr>
        <w:pStyle w:val="BodyText"/>
      </w:pPr>
      <w:r>
        <w:t xml:space="preserve">- Ontostats</w:t>
      </w:r>
    </w:p>
    <w:bookmarkEnd w:id="480"/>
    <w:bookmarkStart w:id="486" w:name="sec-projetLitteBot"/>
    <w:p>
      <w:pPr>
        <w:pStyle w:val="Heading3"/>
      </w:pPr>
      <w:r>
        <w:t xml:space="preserve">4.3.5 2019 – 2022 :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400ème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A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69">
        <w:r>
          <w:rPr>
            <w:rStyle w:val="Hyperlink"/>
          </w:rPr>
          <w:t xml:space="preserve">https://obvil.sorbonne-universite.fr/corpus/moliere/moliere</w:t>
        </w:r>
      </w:hyperlink>
      <w:r>
        <w:t xml:space="preserve">) permet d’envisager de multiple réutilisation de ces textes pour des usages innovants. Par exemple, l’Obvil analyse les relations entre les personnages d’une pièce de théâtre pour visualiser l’importance de leurs relations :</w:t>
      </w:r>
    </w:p>
    <w:p>
      <w:pPr>
        <w:pStyle w:val="CaptionedFigure"/>
      </w:pPr>
      <w:r>
        <w:drawing>
          <wp:inline>
            <wp:extent cx="5334000" cy="6194068"/>
            <wp:effectExtent b="0" l="0" r="0" t="0"/>
            <wp:docPr descr="Obvil : représentation des relations entre personnages" title="" id="481" name="Picture"/>
            <a:graphic>
              <a:graphicData uri="http://schemas.openxmlformats.org/drawingml/2006/picture">
                <pic:pic>
                  <pic:nvPicPr>
                    <pic:cNvPr descr="images/obvil_corpus_moliere_moliere_dom-juan-1682.png" id="482" name="Picture"/>
                    <pic:cNvPicPr>
                      <a:picLocks noChangeArrowheads="1" noChangeAspect="1"/>
                    </pic:cNvPicPr>
                  </pic:nvPicPr>
                  <pic:blipFill>
                    <a:blip r:embed="rId70"/>
                    <a:stretch>
                      <a:fillRect/>
                    </a:stretch>
                  </pic:blipFill>
                  <pic:spPr bwMode="auto">
                    <a:xfrm>
                      <a:off x="0" y="0"/>
                      <a:ext cx="5334000" cy="6194068"/>
                    </a:xfrm>
                    <a:prstGeom prst="rect">
                      <a:avLst/>
                    </a:prstGeom>
                    <a:noFill/>
                    <a:ln w="9525">
                      <a:noFill/>
                      <a:headEnd/>
                      <a:tailEnd/>
                    </a:ln>
                  </pic:spPr>
                </pic:pic>
              </a:graphicData>
            </a:graphic>
          </wp:inline>
        </w:drawing>
      </w:r>
    </w:p>
    <w:p>
      <w:pPr>
        <w:pStyle w:val="ImageCaption"/>
      </w:pPr>
      <w:r>
        <w:t xml:space="preserve">Obvil : représentation des relations entre personnages</w:t>
      </w:r>
    </w:p>
    <w:p>
      <w:pPr>
        <w:pStyle w:val="BodyText"/>
      </w:pPr>
      <w:r>
        <w:t xml:space="preserve">Pour ce projet nous avons analysé la structure du corpus (pièces de théâtre, actes, scènes, répliques, phrases, mots-clés) pour créer des éléments dans une base de données Omeka S correspondant à chacune de ces structures et à leurs relations. Pour ce faire nous avons développé un module générique</w:t>
      </w:r>
      <w:r>
        <w:t xml:space="preserve"> </w:t>
      </w:r>
      <w:r>
        <w:rPr>
          <w:rStyle w:val="FootnoteReference"/>
        </w:rPr>
        <w:footnoteReference w:id="483"/>
      </w:r>
      <w:r>
        <w:t xml:space="preserve"> </w:t>
      </w:r>
      <w:r>
        <w:t xml:space="preserve">d’importation des pages HTML qui à partir d’un fichier de configuration</w:t>
      </w:r>
      <w:r>
        <w:rPr>
          <w:rStyle w:val="FootnoteReference"/>
        </w:rPr>
        <w:footnoteReference w:id="484"/>
      </w:r>
      <w:r>
        <w:t xml:space="preserve"> </w:t>
      </w:r>
      <w:r>
        <w:t xml:space="preserve">sélectionne les éléments de la page et les enregistre dans la base Omeka S en détaillant leurs relations. Nous avons importer toutes</w:t>
      </w:r>
      <w:r>
        <w:t xml:space="preserve"> </w:t>
      </w:r>
      <w:r>
        <w:rPr>
          <w:rStyle w:val="FootnoteReference"/>
        </w:rPr>
        <w:footnoteReference w:id="485"/>
      </w:r>
      <w:r>
        <w:t xml:space="preserve"> </w:t>
      </w:r>
      <w:r>
        <w:t xml:space="preserve">pour obtenir une base de plus de 100 000 items. Ce travail d’hypertrextualisation permet d’explorer la base de données et d’enrichir les éléments qui la compose et dont voici la représentation :</w:t>
      </w:r>
    </w:p>
    <w:p>
      <w:pPr>
        <w:pStyle w:val="BodyText"/>
      </w:pPr>
      <w:r>
        <w:t xml:space="preserve">Nous souhaitions travailler précisément les répliques du théâtre de Molière afin de les rendre génératives en suivant le modèle des générateurs de Jean Pierre Balpe</w:t>
      </w:r>
      <w:r>
        <w:t xml:space="preserve"> </w:t>
      </w:r>
      <w:hyperlink w:anchor="sec-ateliersGenerateur">
        <w:r>
          <w:rPr>
            <w:rStyle w:val="Hyperlink"/>
          </w:rPr>
          <w:t xml:space="preserve">Section 4.3.4</w:t>
        </w:r>
      </w:hyperlink>
      <w:r>
        <w:t xml:space="preserve">. et ainsi disposé d’un générateur automatique de répliques de Molière pouvant servir à l’entrainement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 les indexations manuelles par micro-tâches faites pour rendre ChatGPT opérationnel ou le chatbot Chomsky VS Comsky</w:t>
      </w:r>
    </w:p>
    <w:bookmarkEnd w:id="486"/>
    <w:bookmarkEnd w:id="487"/>
    <w:bookmarkEnd w:id="488"/>
    <w:bookmarkStart w:id="521" w:name="sec-resultats"/>
    <w:p>
      <w:pPr>
        <w:pStyle w:val="Heading1"/>
      </w:pPr>
      <w:r>
        <w:t xml:space="preserve">5. Rappel des résultats</w:t>
      </w:r>
    </w:p>
    <w:bookmarkStart w:id="490" w:name="sec-analogieEcosysteme"/>
    <w:p>
      <w:pPr>
        <w:pStyle w:val="Heading3"/>
      </w:pPr>
      <w:r>
        <w:t xml:space="preserve">5.0.1 L’analogie écosystèmique</w:t>
      </w:r>
    </w:p>
    <w:p>
      <w:pPr>
        <w:pStyle w:val="FirstParagraph"/>
      </w:pPr>
      <w:r>
        <w:t xml:space="preserve">« Les scientifiques ne se contentent pas de lire le grand livre de la Nature ; ils le déchiffrent, le décodent, le transcrivent, le traduisent en une foule d’énoncés inscrits dans des argumentations qui se coulent dans des récits. Mettre l’univers en mots est la tâche essentielle du scientifique. » § 35 Callon 2013</w:t>
      </w:r>
    </w:p>
    <w:bookmarkStart w:id="489" w:name="tissage-des-connaissances"/>
    <w:p>
      <w:pPr>
        <w:pStyle w:val="Heading4"/>
      </w:pPr>
      <w:r>
        <w:t xml:space="preserve">5.0.1.1 Tissage des connaissances</w:t>
      </w:r>
    </w:p>
    <w:p>
      <w:pPr>
        <w:pStyle w:val="FirstParagraph"/>
      </w:pPr>
      <w:r>
        <w:t xml:space="preserve">« c’est aux scientifiques et à eux seuls que revient l’écrasante tâche d’organiser le dialogue avec la Nature en tissant inlassablement le filet des énoncés pour en resserrer la maille » § 37 Callon 2013</w:t>
      </w:r>
    </w:p>
    <w:bookmarkEnd w:id="489"/>
    <w:bookmarkEnd w:id="490"/>
    <w:bookmarkStart w:id="496" w:name="sec-modeleOntoEthique"/>
    <w:p>
      <w:pPr>
        <w:pStyle w:val="Heading3"/>
      </w:pPr>
      <w:r>
        <w:t xml:space="preserve">5.0.2 Modèle pour une ontologie – éthique</w:t>
      </w:r>
    </w:p>
    <w:p>
      <w:pPr>
        <w:pStyle w:val="FirstParagraph"/>
      </w:pPr>
      <w:r>
        <w:t xml:space="preserve">“</w:t>
      </w:r>
      <w:r>
        <w:t xml:space="preserve">Une théorie des modèles (comme l’est la théorie des catastrophes) sera un générateur de modèles qualitatifs, tout comme une loi physique est génératrice de modèles quantitatifs.</w:t>
      </w:r>
      <w:r>
        <w:t xml:space="preserve">”</w:t>
      </w:r>
      <w:r>
        <w:t xml:space="preserve"> </w:t>
      </w:r>
      <w:r>
        <w:t xml:space="preserve">(Thom, 1975) p. 372</w:t>
      </w:r>
    </w:p>
    <w:p>
      <w:pPr>
        <w:pStyle w:val="BodyText"/>
      </w:pPr>
      <w:r>
        <w:t xml:space="preserve">“</w:t>
      </w:r>
      <w:r>
        <w:t xml:space="preserve">Il ne fait aucun doute qu’une telle théorie générale des</w:t>
      </w:r>
      <w:r>
        <w:t xml:space="preserve"> </w:t>
      </w:r>
      <w:r>
        <w:t xml:space="preserve">‘</w:t>
      </w:r>
      <w:r>
        <w:t xml:space="preserve">Gestalten</w:t>
      </w:r>
      <w:r>
        <w:t xml:space="preserve">’</w:t>
      </w:r>
      <w:r>
        <w:t xml:space="preserve">, une</w:t>
      </w:r>
      <w:r>
        <w:t xml:space="preserve"> </w:t>
      </w:r>
      <w:r>
        <w:t xml:space="preserve">‘</w:t>
      </w:r>
      <w:r>
        <w:t xml:space="preserve">Morphologie Générale</w:t>
      </w:r>
      <w:r>
        <w:t xml:space="preserve">’</w:t>
      </w:r>
      <w:r>
        <w:t xml:space="preserve">, ne serait d’un intêret épistémologique fondamental.</w:t>
      </w:r>
      <w:r>
        <w:t xml:space="preserve">”</w:t>
      </w:r>
      <w:r>
        <w:t xml:space="preserve"> </w:t>
      </w:r>
      <w:r>
        <w:t xml:space="preserve">(Thom, 1975) p. 372</w:t>
      </w:r>
    </w:p>
    <w:p>
      <w:pPr>
        <w:pStyle w:val="BodyText"/>
      </w:pPr>
      <w:r>
        <w:t xml:space="preserve">A l’inverse du modèle de Yan LeCun</w:t>
      </w:r>
      <w:r>
        <w:t xml:space="preserve"> </w:t>
      </w:r>
      <w:r>
        <w:t xml:space="preserve">(LeCun, n.d.)</w:t>
      </w:r>
    </w:p>
    <w:p>
      <w:pPr>
        <w:pStyle w:val="BodyText"/>
      </w:pPr>
      <w:r>
        <w:drawing>
          <wp:inline>
            <wp:extent cx="5334000" cy="3000375"/>
            <wp:effectExtent b="0" l="0" r="0" t="0"/>
            <wp:docPr descr="" title="" id="492" name="Picture"/>
            <a:graphic>
              <a:graphicData uri="http://schemas.openxmlformats.org/drawingml/2006/picture">
                <pic:pic>
                  <pic:nvPicPr>
                    <pic:cNvPr descr="images/LeCunArchitecturePerceptionAction.jp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bookmarkStart w:id="494" w:name="X2b9b8ea216e34533b3516d62a36564d4537e16b"/>
    <w:p>
      <w:pPr>
        <w:pStyle w:val="Heading4"/>
      </w:pPr>
      <w:r>
        <w:t xml:space="preserve">5.0.2.1 Expérimentation des connaissances par l’existence des affects</w:t>
      </w:r>
    </w:p>
    <w:p>
      <w:pPr>
        <w:pStyle w:val="FirstParagraph"/>
      </w:pPr>
      <w:r>
        <w:t xml:space="preserve">L’ensemble de l’opération décrite par Spinoza présente quatre moments : 1°) joie passive qui augmente notre puissance d’agir, d’où découlent des désirs ou des passions, en fonction d’une idée encore inadéquate ; 2°) a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 (Deleuze, 1968, p. 264)</w:t>
      </w:r>
    </w:p>
    <w:bookmarkEnd w:id="494"/>
    <w:bookmarkStart w:id="495" w:name="Xee8e43a6e2e7484bf2d3b161c79131ce7cf3a6f"/>
    <w:p>
      <w:pPr>
        <w:pStyle w:val="Heading4"/>
      </w:pPr>
      <w:r>
        <w:t xml:space="preserve">5.0.2.2 Pouvoirs de discernement, de choisir et d’agir</w:t>
      </w:r>
    </w:p>
    <w:bookmarkEnd w:id="495"/>
    <w:bookmarkEnd w:id="496"/>
    <w:bookmarkStart w:id="511" w:name="sec-complexiteExitentielle"/>
    <w:p>
      <w:pPr>
        <w:pStyle w:val="Heading3"/>
      </w:pPr>
      <w:r>
        <w:t xml:space="preserve">5.0.3 La complexité existentielle</w:t>
      </w:r>
      <w:r>
        <w:rPr>
          <w:rStyle w:val="FootnoteReference"/>
        </w:rPr>
        <w:footnoteReference w:id="497"/>
      </w:r>
    </w:p>
    <w:p>
      <w:pPr>
        <w:pStyle w:val="FirstParagraph"/>
      </w:pPr>
      <w:r>
        <w:t xml:space="preserve">Nous reprenons ici les chapitres consacrées à cette problématique que nous avons publié en anglais dans (Szoniecky, 2018) en les corrigeant et les complétant de nouvelles propositions.</w:t>
      </w:r>
    </w:p>
    <w:p>
      <w:pPr>
        <w:pStyle w:val="BodyText"/>
      </w:pPr>
      <w:r>
        <w:t xml:space="preserve">A partir des principes de modélisation que nous avons définis (</w:t>
      </w:r>
      <w:hyperlink w:anchor="anchor-18">
        <w:r>
          <w:rPr>
            <w:rStyle w:val="Hyperlink"/>
          </w:rPr>
          <w:t xml:space="preserve">1.5.2</w:t>
        </w:r>
      </w:hyperlink>
      <w:r>
        <w:t xml:space="preserve"> </w:t>
      </w:r>
      <w:hyperlink w:anchor="anchor-18">
        <w:r>
          <w:rPr>
            <w:rStyle w:val="Hyperlink"/>
          </w:rPr>
          <w:t xml:space="preserve">Modèle pour une ontologie – éthique</w:t>
        </w:r>
      </w:hyperlink>
      <w:r>
        <w:t xml:space="preserve"> </w:t>
      </w:r>
      <w:r>
        <w:t xml:space="preserve">p. </w:t>
      </w:r>
      <w:hyperlink w:anchor="anchor-18">
        <w:r>
          <w:rPr>
            <w:rStyle w:val="Hyperlink"/>
          </w:rPr>
          <w:t xml:space="preserve">51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degrés de précision de celles ci. Insistons toutefois sur le caractère relatif de ces modélisations et des mesures de complexité qui en découlent. Il est illusoire de défendre l’idée que la modélisation puisse être exhaustive, elle relève toujours de la subjectivité de l’analyse qui choisi d’intégrer tel ou tel élément dans le modèle. Dès lors, ce qui est important c’est de pouvoir évaluer la complexité du modèle et de créer les conditions de son interopérabilité et de sa réfutabilité.</w:t>
      </w:r>
    </w:p>
    <w:bookmarkStart w:id="503" w:name="calculer-la-complexité-existentielle"/>
    <w:p>
      <w:pPr>
        <w:pStyle w:val="Heading4"/>
      </w:pPr>
      <w:r>
        <w:t xml:space="preserve">5.0.3.1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fractale que nous appliquons, les éléments de chaque dimension se composent eux-même d’existences informationnelles bâties sur le même modèle à quatre dimension. De ce fait, la complexité d’une existence augmente suivant la complexité des éléments qui la compose.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moins complexe qu’une modélisation de cette existence qui inclus l’ensemble des existences « continents » qui la compose. Pour calculer cette différence de complexité, nous proposons de multiplier le nombre d’élément de chaque dimension par le niveau de modélisation. Dans le cas d’une modélisation « Terre », nous obtenons la complexité  : 1</w:t>
      </w:r>
    </w:p>
    <w:p>
      <w:pPr>
        <w:numPr>
          <w:ilvl w:val="0"/>
          <w:numId w:val="1024"/>
        </w:numPr>
      </w:pPr>
      <w:r>
        <w:t xml:space="preserve">« Terre » : niveau 1 : 1 élément  =&gt; complexité = 1 * 1 = 1</w:t>
      </w:r>
    </w:p>
    <w:p>
      <w:pPr>
        <w:numPr>
          <w:ilvl w:val="0"/>
          <w:numId w:val="1000"/>
        </w:numPr>
      </w:pPr>
      <w:r>
        <w:t xml:space="preserve">Si nous ajoutons à cette modélisation les « continents », nous obtenons la complexité 1+14 = 15 :</w:t>
      </w:r>
    </w:p>
    <w:p>
      <w:pPr>
        <w:numPr>
          <w:ilvl w:val="0"/>
          <w:numId w:val="1024"/>
        </w:numPr>
      </w:pPr>
      <w:r>
        <w:t xml:space="preserve">« Terre » : niveau 1 : 1 élément  =&gt; complexité = 1 * 1 = 1</w:t>
      </w:r>
    </w:p>
    <w:p>
      <w:pPr>
        <w:numPr>
          <w:ilvl w:val="0"/>
          <w:numId w:val="1000"/>
        </w:numPr>
      </w:pPr>
      <w:r>
        <w:t xml:space="preserve">+</w:t>
      </w:r>
    </w:p>
    <w:p>
      <w:pPr>
        <w:numPr>
          <w:ilvl w:val="0"/>
          <w:numId w:val="1024"/>
        </w:numPr>
      </w:pPr>
      <w:r>
        <w:t xml:space="preserve">« Afrique », « Amérique du nord », « Amérique du sud », « Antartique », « Artique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498"/>
      </w:r>
      <w:r>
        <w:t xml:space="preserve"> </w:t>
      </w:r>
      <w:r>
        <w:t xml:space="preserve">qui utilise les informations de la base de données pour calculer la complexité d’une ou de plusieurs existences suivant le principe qu’une ressource Omeka S est une existence. Cette algorithme se compose de deux parties, une première qui calcule pour une ressource le nombre d’élément de chaque dimension et une deuxième qui calcule la complexité à partir de ce dénombrement.</w:t>
      </w:r>
    </w:p>
    <w:p>
      <w:pPr>
        <w:pStyle w:val="FirstParagraph"/>
      </w:pPr>
      <w:r>
        <w:t xml:space="preserve">L’étape du dénombrement calcule pour chaque ressource le nombre d’élément de la dimension existentielle correspondant à la classe</w:t>
      </w:r>
      <w:r>
        <w:rPr>
          <w:rStyle w:val="FootnoteReference"/>
        </w:rPr>
        <w:footnoteReference w:id="500"/>
      </w:r>
      <w:r>
        <w:t xml:space="preserve"> </w:t>
      </w:r>
      <w:r>
        <w:t xml:space="preserve">de cette ressource. Puis incrémente le nombre d’actant pour chaque propriétaire (« owner ») de la ressource. Pour chaque propriété qui décrit cette ressource, l’algorithme incrémente premièrement le nombre de concept (une propriété est définie par une « rdf:Property » dans un vocabulaire spécifique) ; deuxièmement le nombre d’élément physique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 (pour une explication de ce choix cf. </w:t>
      </w:r>
      <w:hyperlink w:anchor="anchor-65">
        <w:r>
          <w:rPr>
            <w:rStyle w:val="Hyperlink"/>
          </w:rPr>
          <w:t xml:space="preserve">1.5.3.3</w:t>
        </w:r>
      </w:hyperlink>
      <w:r>
        <w:t xml:space="preserve"> </w:t>
      </w:r>
      <w:hyperlink w:anchor="anchor-65">
        <w:r>
          <w:rPr>
            <w:rStyle w:val="Hyperlink"/>
          </w:rPr>
          <w:t xml:space="preserve">Différence entre complexité et maillage du réseau</w:t>
        </w:r>
      </w:hyperlink>
      <w:r>
        <w:t xml:space="preserve"> </w:t>
      </w:r>
      <w:r>
        <w:t xml:space="preserve">p. </w:t>
      </w:r>
      <w:hyperlink w:anchor="anchor-65">
        <w:r>
          <w:rPr>
            <w:rStyle w:val="Hyperlink"/>
          </w:rPr>
          <w:t xml:space="preserve">55</w:t>
        </w:r>
      </w:hyperlink>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 (Szoniecky, 2020) et que nous détaillons plus loin (</w:t>
      </w:r>
      <w:hyperlink w:anchor="anchor-66">
        <w:r>
          <w:rPr>
            <w:rStyle w:val="Hyperlink"/>
          </w:rPr>
          <w:t xml:space="preserve">1.5.4</w:t>
        </w:r>
      </w:hyperlink>
      <w:r>
        <w:t xml:space="preserve"> </w:t>
      </w:r>
      <w:hyperlink w:anchor="anchor-66">
        <w:r>
          <w:rPr>
            <w:rStyle w:val="Hyperlink"/>
          </w:rPr>
          <w:t xml:space="preserve">Diagrammes et cribles conceptuels</w:t>
        </w:r>
      </w:hyperlink>
      <w:r>
        <w:t xml:space="preserve"> </w:t>
      </w:r>
      <w:r>
        <w:t xml:space="preserve">p. </w:t>
      </w:r>
      <w:hyperlink w:anchor="anchor-66">
        <w:r>
          <w:rPr>
            <w:rStyle w:val="Hyperlink"/>
          </w:rPr>
          <w:t xml:space="preserve">55</w:t>
        </w:r>
      </w:hyperlink>
      <w:r>
        <w:t xml:space="preserve">). Dans le cas de cet algorithme, les valeurs des sujets, objets et prédicats sont définies avec les règles suivantes :</w:t>
      </w:r>
    </w:p>
    <w:p>
      <w:pPr>
        <w:numPr>
          <w:ilvl w:val="0"/>
          <w:numId w:val="1025"/>
        </w:numPr>
      </w:pPr>
      <w:r>
        <w:t xml:space="preserve">Pour chaque ressource :</w:t>
      </w:r>
    </w:p>
    <w:p>
      <w:pPr>
        <w:numPr>
          <w:ilvl w:val="1"/>
          <w:numId w:val="1026"/>
        </w:numPr>
      </w:pPr>
      <w:r>
        <w:t xml:space="preserve">sujet = dimension existentielle de la ressource, objet = Concept, prédicat = properties, nombre de rapport = nombre de propriété</w:t>
      </w:r>
    </w:p>
    <w:p>
      <w:pPr>
        <w:numPr>
          <w:ilvl w:val="1"/>
          <w:numId w:val="1026"/>
        </w:numPr>
      </w:pPr>
      <w:r>
        <w:t xml:space="preserve">sujet = dimension existentielle de la ressource, objet = Physique, prédicat = values, nombre de rapport = nombre de valeur pour l’ensemble des propriétés de la ressources</w:t>
      </w:r>
    </w:p>
    <w:p>
      <w:pPr>
        <w:numPr>
          <w:ilvl w:val="1"/>
          <w:numId w:val="1026"/>
        </w:numPr>
      </w:pPr>
      <w:r>
        <w:t xml:space="preserve">Pour chaque propriétaire</w:t>
      </w:r>
    </w:p>
    <w:p>
      <w:pPr>
        <w:numPr>
          <w:ilvl w:val="2"/>
          <w:numId w:val="1027"/>
        </w:numPr>
        <w:pStyle w:val="Compact"/>
      </w:pPr>
      <w:r>
        <w:t xml:space="preserve">sujet = dimension existentielle de la ressource, objet = Actant, prédicat = owner, nombre de rapport = 1</w:t>
      </w:r>
    </w:p>
    <w:p>
      <w:pPr>
        <w:numPr>
          <w:ilvl w:val="1"/>
          <w:numId w:val="1026"/>
        </w:numPr>
      </w:pPr>
      <w:r>
        <w:t xml:space="preserve">Pour chaque valeur de type ressource</w:t>
      </w:r>
    </w:p>
    <w:p>
      <w:pPr>
        <w:numPr>
          <w:ilvl w:val="2"/>
          <w:numId w:val="1028"/>
        </w:numPr>
        <w:pStyle w:val="Compact"/>
      </w:pPr>
      <w:r>
        <w:t xml:space="preserve">sujet = dimension existentielle de la ressource, objet = dimension existentielle de la valeur, prédicat = propriété de cette valeur, nombre de rapport = 1</w:t>
      </w:r>
    </w:p>
    <w:p>
      <w:pPr>
        <w:numPr>
          <w:ilvl w:val="1"/>
          <w:numId w:val="1026"/>
        </w:numPr>
      </w:pPr>
      <w:r>
        <w:t xml:space="preserve">Pour chaque valeur de type URI</w:t>
      </w:r>
    </w:p>
    <w:p>
      <w:pPr>
        <w:numPr>
          <w:ilvl w:val="2"/>
          <w:numId w:val="1029"/>
        </w:numPr>
        <w:pStyle w:val="Compact"/>
      </w:pPr>
      <w:r>
        <w:t xml:space="preserve">sujet = dimension existentielle de la ressource, objet = Physique, prédicat = uri, nombre de rapport = 1</w:t>
      </w:r>
    </w:p>
    <w:p>
      <w:pPr>
        <w:pStyle w:val="FirstParagraph"/>
      </w:pPr>
      <w:r>
        <w:t xml:space="preserve">Suite à cette étape de dénombrement, la deuxième partie de l’algorithme consiste à multiplier pour chaque ressource le nombre d’élément de chaque dimension existentielle par le niveau de la ressource dans le processus de modélisation. Puis de cumuler les résultats pour obtenir la complexité d’un ensemble de ressource. Au final le calcul de la complexité produit l’objet avec les propriétés suivantes :</w:t>
      </w:r>
    </w:p>
    <w:p>
      <w:pPr>
        <w:numPr>
          <w:ilvl w:val="0"/>
          <w:numId w:val="1030"/>
        </w:numPr>
      </w:pPr>
      <w:r>
        <w:t xml:space="preserve">infos</w:t>
      </w:r>
    </w:p>
    <w:p>
      <w:pPr>
        <w:numPr>
          <w:ilvl w:val="1"/>
          <w:numId w:val="1031"/>
        </w:numPr>
      </w:pPr>
      <w:r>
        <w:t xml:space="preserve">date : date du calcul de la complexité</w:t>
      </w:r>
    </w:p>
    <w:p>
      <w:pPr>
        <w:numPr>
          <w:ilvl w:val="1"/>
          <w:numId w:val="1031"/>
        </w:numPr>
      </w:pPr>
      <w:r>
        <w:t xml:space="preserve">resources</w:t>
      </w:r>
      <w:r>
        <w:rPr>
          <w:rStyle w:val="FootnoteReference"/>
        </w:rPr>
        <w:footnoteReference w:id="501"/>
      </w:r>
      <w:r>
        <w:t xml:space="preserve"> </w:t>
      </w:r>
      <w:r>
        <w:t xml:space="preserve">: liste des ressources impliquée dans le calcul avec les informations :</w:t>
      </w:r>
    </w:p>
    <w:p>
      <w:pPr>
        <w:numPr>
          <w:ilvl w:val="2"/>
          <w:numId w:val="1032"/>
        </w:numPr>
        <w:pStyle w:val="Compact"/>
      </w:pPr>
      <w:r>
        <w:t xml:space="preserve">type : le type de ressource omeka S = items, item set, media, annotations</w:t>
      </w:r>
    </w:p>
    <w:p>
      <w:pPr>
        <w:numPr>
          <w:ilvl w:val="2"/>
          <w:numId w:val="1032"/>
        </w:numPr>
        <w:pStyle w:val="Compact"/>
      </w:pPr>
      <w:r>
        <w:t xml:space="preserve">id : l’identifiant</w:t>
      </w:r>
    </w:p>
    <w:p>
      <w:pPr>
        <w:numPr>
          <w:ilvl w:val="2"/>
          <w:numId w:val="1032"/>
        </w:numPr>
        <w:pStyle w:val="Compact"/>
      </w:pPr>
      <w:r>
        <w:t xml:space="preserve">title : le titre</w:t>
      </w:r>
    </w:p>
    <w:p>
      <w:pPr>
        <w:numPr>
          <w:ilvl w:val="2"/>
          <w:numId w:val="1032"/>
        </w:numPr>
        <w:pStyle w:val="Compact"/>
      </w:pPr>
      <w:r>
        <w:t xml:space="preserve">class : la classe</w:t>
      </w:r>
    </w:p>
    <w:p>
      <w:pPr>
        <w:numPr>
          <w:ilvl w:val="2"/>
          <w:numId w:val="1032"/>
        </w:numPr>
        <w:pStyle w:val="Compact"/>
      </w:pPr>
      <w:r>
        <w:t xml:space="preserve">complexity : la complexité calculée</w:t>
      </w:r>
    </w:p>
    <w:p>
      <w:pPr>
        <w:numPr>
          <w:ilvl w:val="2"/>
          <w:numId w:val="1032"/>
        </w:numPr>
        <w:pStyle w:val="Compact"/>
      </w:pPr>
      <w:r>
        <w:t xml:space="preserve">d : la dimension existentielle = Physique, Actant, Concept, Rapport</w:t>
      </w:r>
    </w:p>
    <w:p>
      <w:pPr>
        <w:numPr>
          <w:ilvl w:val="2"/>
          <w:numId w:val="1032"/>
        </w:numPr>
        <w:pStyle w:val="Compact"/>
      </w:pPr>
      <w:r>
        <w:t xml:space="preserve">n : les niveaux de modélisation pris en compte pour cette ressource</w:t>
      </w:r>
    </w:p>
    <w:p>
      <w:pPr>
        <w:numPr>
          <w:ilvl w:val="2"/>
          <w:numId w:val="1032"/>
        </w:numPr>
        <w:pStyle w:val="Compact"/>
      </w:pPr>
      <w:r>
        <w:t xml:space="preserve">details</w:t>
      </w:r>
      <w:r>
        <w:rPr>
          <w:rStyle w:val="FootnoteReference"/>
        </w:rPr>
        <w:footnoteReference w:id="502"/>
      </w:r>
    </w:p>
    <w:p>
      <w:pPr>
        <w:numPr>
          <w:ilvl w:val="0"/>
          <w:numId w:val="1030"/>
        </w:numPr>
      </w:pPr>
      <w:r>
        <w:t xml:space="preserve">params : affiche les paramètres passés à l’algorithme</w:t>
      </w:r>
    </w:p>
    <w:p>
      <w:pPr>
        <w:numPr>
          <w:ilvl w:val="0"/>
          <w:numId w:val="1030"/>
        </w:numPr>
      </w:pPr>
      <w:r>
        <w:t xml:space="preserve">Pour les dimensions Physique, Actant, Concept : résultats du calcul pour la dimension avec les informations :</w:t>
      </w:r>
    </w:p>
    <w:p>
      <w:pPr>
        <w:numPr>
          <w:ilvl w:val="1"/>
          <w:numId w:val="1033"/>
        </w:numPr>
      </w:pPr>
      <w:r>
        <w:t xml:space="preserve">details : liste les niveaux de modélisation, avec le nombre d’élément et la complexité du niveau</w:t>
      </w:r>
    </w:p>
    <w:p>
      <w:pPr>
        <w:numPr>
          <w:ilvl w:val="1"/>
          <w:numId w:val="1033"/>
        </w:numPr>
      </w:pPr>
      <w:r>
        <w:t xml:space="preserve">totals : affiche le résultat total de la dimension :</w:t>
      </w:r>
    </w:p>
    <w:p>
      <w:pPr>
        <w:numPr>
          <w:ilvl w:val="2"/>
          <w:numId w:val="1034"/>
        </w:numPr>
        <w:pStyle w:val="Compact"/>
      </w:pPr>
      <w:r>
        <w:t xml:space="preserve">nbNiv : le nombre de niveau de modélisation qui dans cette version de l’algorithme est toujours égal à 2</w:t>
      </w:r>
    </w:p>
    <w:p>
      <w:pPr>
        <w:numPr>
          <w:ilvl w:val="2"/>
          <w:numId w:val="1034"/>
        </w:numPr>
        <w:pStyle w:val="Compact"/>
      </w:pPr>
      <w:r>
        <w:t xml:space="preserve">nivMin : le niveau minimum de modélisation de la dimension  : 1 ou 2</w:t>
      </w:r>
    </w:p>
    <w:p>
      <w:pPr>
        <w:numPr>
          <w:ilvl w:val="2"/>
          <w:numId w:val="1034"/>
        </w:numPr>
        <w:pStyle w:val="Compact"/>
      </w:pPr>
      <w:r>
        <w:t xml:space="preserve">nivMax : le niveau maximum de modélisation de la dimension : 2</w:t>
      </w:r>
    </w:p>
    <w:p>
      <w:pPr>
        <w:numPr>
          <w:ilvl w:val="2"/>
          <w:numId w:val="1034"/>
        </w:numPr>
        <w:pStyle w:val="Compact"/>
      </w:pPr>
      <w:r>
        <w:t xml:space="preserve">nb : le nombre d’élément dans la dimension</w:t>
      </w:r>
    </w:p>
    <w:p>
      <w:pPr>
        <w:numPr>
          <w:ilvl w:val="2"/>
          <w:numId w:val="1034"/>
        </w:numPr>
        <w:pStyle w:val="Compact"/>
      </w:pPr>
      <w:r>
        <w:t xml:space="preserve">c : la complexité de cette dimension</w:t>
      </w:r>
    </w:p>
    <w:p>
      <w:pPr>
        <w:numPr>
          <w:ilvl w:val="0"/>
          <w:numId w:val="1030"/>
        </w:numPr>
      </w:pPr>
      <w:r>
        <w:t xml:space="preserve">Pour la dimension Rapport : résultats du calcul pour la dimension avec les informations :</w:t>
      </w:r>
    </w:p>
    <w:p>
      <w:pPr>
        <w:numPr>
          <w:ilvl w:val="1"/>
          <w:numId w:val="1035"/>
        </w:numPr>
      </w:pPr>
      <w:r>
        <w:t xml:space="preserve">details : liste des rapports avec les informations :</w:t>
      </w:r>
    </w:p>
    <w:p>
      <w:pPr>
        <w:numPr>
          <w:ilvl w:val="2"/>
          <w:numId w:val="1036"/>
        </w:numPr>
        <w:pStyle w:val="Compact"/>
      </w:pPr>
      <w:r>
        <w:t xml:space="preserve">ns : niveau de modélisation du sujet</w:t>
      </w:r>
    </w:p>
    <w:p>
      <w:pPr>
        <w:numPr>
          <w:ilvl w:val="2"/>
          <w:numId w:val="1036"/>
        </w:numPr>
        <w:pStyle w:val="Compact"/>
      </w:pPr>
      <w:r>
        <w:t xml:space="preserve">no : niveau de modélisation de l’objet</w:t>
      </w:r>
    </w:p>
    <w:p>
      <w:pPr>
        <w:numPr>
          <w:ilvl w:val="2"/>
          <w:numId w:val="1036"/>
        </w:numPr>
        <w:pStyle w:val="Compact"/>
      </w:pPr>
      <w:r>
        <w:t xml:space="preserve">s : dimension existentielle du sujet</w:t>
      </w:r>
    </w:p>
    <w:p>
      <w:pPr>
        <w:numPr>
          <w:ilvl w:val="2"/>
          <w:numId w:val="1036"/>
        </w:numPr>
        <w:pStyle w:val="Compact"/>
      </w:pPr>
      <w:r>
        <w:t xml:space="preserve">o : dimension existentielle de l’objet</w:t>
      </w:r>
    </w:p>
    <w:p>
      <w:pPr>
        <w:numPr>
          <w:ilvl w:val="2"/>
          <w:numId w:val="1036"/>
        </w:numPr>
        <w:pStyle w:val="Compact"/>
      </w:pPr>
      <w:r>
        <w:t xml:space="preserve">p : prédicat du rapport</w:t>
      </w:r>
    </w:p>
    <w:p>
      <w:pPr>
        <w:numPr>
          <w:ilvl w:val="2"/>
          <w:numId w:val="1036"/>
        </w:numPr>
        <w:pStyle w:val="Compact"/>
      </w:pPr>
      <w:r>
        <w:t xml:space="preserve">nb : nombre de rapport ayant les mêmes ns, no, s, o, p</w:t>
      </w:r>
    </w:p>
    <w:p>
      <w:pPr>
        <w:numPr>
          <w:ilvl w:val="2"/>
          <w:numId w:val="1036"/>
        </w:numPr>
        <w:pStyle w:val="Compact"/>
      </w:pPr>
      <w:r>
        <w:t xml:space="preserve">c : complexité du niveau</w:t>
      </w:r>
    </w:p>
    <w:p>
      <w:pPr>
        <w:numPr>
          <w:ilvl w:val="1"/>
          <w:numId w:val="1035"/>
        </w:numPr>
      </w:pPr>
      <w:r>
        <w:t xml:space="preserve">totals : affiche le résultat total de la dimension :</w:t>
      </w:r>
    </w:p>
    <w:p>
      <w:pPr>
        <w:numPr>
          <w:ilvl w:val="2"/>
          <w:numId w:val="1037"/>
        </w:numPr>
        <w:pStyle w:val="Compact"/>
      </w:pPr>
      <w:r>
        <w:t xml:space="preserve">nbNiv : le nombre de niveau de modélisation qui dans cette version de l’algorithme est toujours égal à 2</w:t>
      </w:r>
    </w:p>
    <w:p>
      <w:pPr>
        <w:numPr>
          <w:ilvl w:val="2"/>
          <w:numId w:val="1037"/>
        </w:numPr>
        <w:pStyle w:val="Compact"/>
      </w:pPr>
      <w:r>
        <w:t xml:space="preserve">nivMin : le niveau minimum de modélisation de la dimension  : 1 ou 2</w:t>
      </w:r>
    </w:p>
    <w:p>
      <w:pPr>
        <w:numPr>
          <w:ilvl w:val="2"/>
          <w:numId w:val="1037"/>
        </w:numPr>
        <w:pStyle w:val="Compact"/>
      </w:pPr>
      <w:r>
        <w:t xml:space="preserve">nivMax : le niveau maximum de modélisation de la dimension : 2</w:t>
      </w:r>
    </w:p>
    <w:p>
      <w:pPr>
        <w:numPr>
          <w:ilvl w:val="2"/>
          <w:numId w:val="1037"/>
        </w:numPr>
        <w:pStyle w:val="Compact"/>
      </w:pPr>
      <w:r>
        <w:t xml:space="preserve">nb : le nombre d’élément dans la dimension</w:t>
      </w:r>
    </w:p>
    <w:p>
      <w:pPr>
        <w:numPr>
          <w:ilvl w:val="2"/>
          <w:numId w:val="1037"/>
        </w:numPr>
        <w:pStyle w:val="Compact"/>
      </w:pPr>
      <w:r>
        <w:t xml:space="preserve">c : la complexité de cette dimension</w:t>
      </w:r>
    </w:p>
    <w:p>
      <w:pPr>
        <w:numPr>
          <w:ilvl w:val="0"/>
          <w:numId w:val="1030"/>
        </w:numPr>
      </w:pPr>
      <w:r>
        <w:t xml:space="preserve">totals : affiche le résultat totaux des ressources calculées :</w:t>
      </w:r>
    </w:p>
    <w:p>
      <w:pPr>
        <w:numPr>
          <w:ilvl w:val="1"/>
          <w:numId w:val="1038"/>
        </w:numPr>
        <w:pStyle w:val="Compact"/>
      </w:pPr>
      <w:r>
        <w:t xml:space="preserve">nbNiv : le nombre de niveau de modélisation qui dans cette version de l’algorithme est toujours égal à 2</w:t>
      </w:r>
    </w:p>
    <w:p>
      <w:pPr>
        <w:numPr>
          <w:ilvl w:val="1"/>
          <w:numId w:val="1038"/>
        </w:numPr>
        <w:pStyle w:val="Compact"/>
      </w:pPr>
      <w:r>
        <w:t xml:space="preserve">nivMin : le niveau minimum de modélisation  : 1 ou 2</w:t>
      </w:r>
    </w:p>
    <w:p>
      <w:pPr>
        <w:numPr>
          <w:ilvl w:val="1"/>
          <w:numId w:val="1038"/>
        </w:numPr>
        <w:pStyle w:val="Compact"/>
      </w:pPr>
      <w:r>
        <w:t xml:space="preserve">nivMax : le niveau maximum de modélisation : 2</w:t>
      </w:r>
    </w:p>
    <w:p>
      <w:pPr>
        <w:numPr>
          <w:ilvl w:val="1"/>
          <w:numId w:val="1038"/>
        </w:numPr>
        <w:pStyle w:val="Compact"/>
      </w:pPr>
      <w:r>
        <w:t xml:space="preserve">nb : le nombre d’élément</w:t>
      </w:r>
    </w:p>
    <w:p>
      <w:pPr>
        <w:numPr>
          <w:ilvl w:val="1"/>
          <w:numId w:val="1038"/>
        </w:numPr>
        <w:pStyle w:val="Compact"/>
      </w:pPr>
      <w:r>
        <w:t xml:space="preserve">c : la complexité</w:t>
      </w:r>
    </w:p>
    <w:p>
      <w:pPr>
        <w:pStyle w:val="FirstParagraph"/>
      </w:pPr>
      <w:r>
        <w:t xml:space="preserve">Les données fournies par l’algorithme permettent de vérifier les calculs et de les utiliser pour faire d’autres traitements par exemple pour les représenter graphiquement et naviguer dans les résultats.</w:t>
      </w:r>
    </w:p>
    <w:bookmarkEnd w:id="503"/>
    <w:bookmarkStart w:id="504" w:name="représenter-la-complexité-existentielle"/>
    <w:p>
      <w:pPr>
        <w:pStyle w:val="Heading4"/>
      </w:pPr>
      <w:r>
        <w:t xml:space="preserve">5.0.3.2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w:t>
      </w:r>
    </w:p>
    <w:p>
      <w:pPr>
        <w:pStyle w:val="BodyText"/>
      </w:pPr>
      <w:r>
        <w:t xml:space="preserve">Par exemple, reprenons la modélisation de la Figure 4.2., Chromecast est considéré comme une dimension physique composé de trois sous partie : le cordon d’alimentation, le boitier électronique et le câble HDMI. Cette modélisation ne prend pas en compte les dimensions d’acteur, de concept et de rapport. Ce modèle a une complexité de 7 que nous détaillons dans le tableau ci-dessous :</w:t>
      </w:r>
    </w:p>
    <w:bookmarkEnd w:id="504"/>
    <w:bookmarkStart w:id="509" w:name="X7e7f9d1f70cf6d24d9b18a30d8e5999b29ea74d"/>
    <w:p>
      <w:pPr>
        <w:pStyle w:val="Heading4"/>
      </w:pPr>
      <w:r>
        <w:t xml:space="preserve">5.0.3.3 Différence entre complexité et maillage du réseau</w:t>
      </w:r>
    </w:p>
    <w:p>
      <w:pPr>
        <w:pStyle w:val="FirstParagraph"/>
      </w:pPr>
      <w:r>
        <w:t xml:space="preserve">Il est important de comprendre que le calcul de la complexité d’une existence ne prend pas en compte l’intégralité du réseau informationnel dont fait partie cette existence mais uniquement . Nous avons fait le choix pour simplifier lecalcule dea complexité d’une existence mais uniquement les informations</w:t>
      </w:r>
    </w:p>
    <w:p>
      <w:pPr>
        <w:pStyle w:val="BodyText"/>
      </w:pPr>
      <w:r>
        <w:t xml:space="preserve">Par exemple, la citation suivante possède une complexité de 231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 </w:t>
      </w:r>
      <w:r>
        <w:t xml:space="preserve">(Morin, 1992, p. 102)</w:t>
      </w:r>
    </w:p>
    <w:p>
      <w:pPr>
        <w:pStyle w:val="FirstParagraph"/>
      </w:pPr>
      <w:r>
        <w:t xml:space="preserve">Cette complexité peut se représenter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508" w:name="fig-ComplexityCita"/>
          <w:p>
            <w:pPr>
              <w:pStyle w:val="Compact"/>
              <w:jc w:val="center"/>
            </w:pPr>
            <w:r>
              <w:drawing>
                <wp:inline>
                  <wp:extent cx="5334000" cy="2751832"/>
                  <wp:effectExtent b="0" l="0" r="0" t="0"/>
                  <wp:docPr descr="" title="" id="506" name="Picture"/>
                  <a:graphic>
                    <a:graphicData uri="http://schemas.openxmlformats.org/drawingml/2006/picture">
                      <pic:pic>
                        <pic:nvPicPr>
                          <pic:cNvPr descr="images/localhost_samszo_HDR_jdcComplexityCita.png" id="507" name="Picture"/>
                          <pic:cNvPicPr>
                            <a:picLocks noChangeArrowheads="1" noChangeAspect="1"/>
                          </pic:cNvPicPr>
                        </pic:nvPicPr>
                        <pic:blipFill>
                          <a:blip r:embed="rId505"/>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Diagramme de complexité d’une citation</w:t>
            </w:r>
          </w:p>
          <w:bookmarkEnd w:id="508"/>
        </w:tc>
      </w:tr>
    </w:tbl>
    <w:bookmarkEnd w:id="509"/>
    <w:bookmarkStart w:id="510" w:name="comparer-des-points-de-vue-interprétatif"/>
    <w:p>
      <w:pPr>
        <w:pStyle w:val="Heading4"/>
      </w:pPr>
      <w:r>
        <w:t xml:space="preserve">5.0.3.4 Comparer des points de vue interprétatif</w:t>
      </w:r>
    </w:p>
    <w:p>
      <w:pPr>
        <w:pStyle w:val="FirstParagraph"/>
      </w:pPr>
      <w:r>
        <w:t xml:space="preserve">les dimensions existentielle,</w:t>
      </w:r>
    </w:p>
    <w:p>
      <w:pPr>
        <w:pStyle w:val="BodyText"/>
      </w:pPr>
      <w:r>
        <w:t xml:space="preserve">le temps,</w:t>
      </w:r>
    </w:p>
    <w:p>
      <w:pPr>
        <w:pStyle w:val="BodyText"/>
      </w:pPr>
      <w:r>
        <w:t xml:space="preserve">par rapport à un objectif</w:t>
      </w:r>
    </w:p>
    <w:bookmarkEnd w:id="510"/>
    <w:bookmarkEnd w:id="511"/>
    <w:bookmarkStart w:id="518" w:name="sec-diagrammesCribles"/>
    <w:p>
      <w:pPr>
        <w:pStyle w:val="Heading3"/>
      </w:pPr>
      <w:r>
        <w:t xml:space="preserve">5.0.4 Diagrammes et cribles conceptuels</w:t>
      </w:r>
    </w:p>
    <w:p>
      <w:pPr>
        <w:pStyle w:val="FirstParagraph"/>
      </w:pPr>
      <w:r>
        <w:t xml:space="preserve">« Très souvent les marques involontaires sont beaucoup plus profondément suggestives que les autres, et c’est à ce moment-là que vous sentez que toute espèce de chose peut arriver. » (Voss, 2019, § 16) Cité dans (Deleuze, 2002, p. 94, note de la p. 87).</w:t>
      </w:r>
    </w:p>
    <w:p>
      <w:pPr>
        <w:pStyle w:val="BodyText"/>
      </w:pPr>
      <w:r>
        <w:t xml:space="preserve">“</w:t>
      </w:r>
      <w:r>
        <w:t xml:space="preserve">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 logique de la sensation ».</w:t>
      </w:r>
      <w:r>
        <w:t xml:space="preserve">”</w:t>
      </w:r>
      <w:r>
        <w:t xml:space="preserve"> </w:t>
      </w:r>
      <w:r>
        <w:t xml:space="preserve">(Voss, 2019, § 21)</w:t>
      </w:r>
    </w:p>
    <w:p>
      <w:pPr>
        <w:pStyle w:val="BodyText"/>
      </w:pPr>
      <w:r>
        <w:t xml:space="preserve">« L’arbre n’est pas seulement un signe, il est le signe des signes, le diagramme des diagrammes, celui qui est le mieux en prise avec le réel et son devenir. Qu’il s’incarne dans des images matérielles, des images mentales ou des images métaphoriques, il affirme sa puissance organisatrice dans tous les domaines depuis les débuts de la pensée moderne jusqu’à l’ère numérique. » (Dahan-Gaida, 2020)§ 37</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Ces cribles auront pour objectif Avant d’utiliser ce crible conceptuel, il faut tout d’abord définir « sur quoi » porte l’analyse qu’elle est sont objet qu’elles sont les « potentialités actuelles dûment répertoriables » . Dans l’étude de (Wolff &amp; al. 2017) la grille d’analyse CPL porte sur des plateformes informatiques mais nous pouvons aussi l’utiliser sur toutes autres données voir même sur CPL.</w:t>
      </w:r>
    </w:p>
    <w:p>
      <w:pPr>
        <w:pStyle w:val="BodyText"/>
      </w:pPr>
      <w:r>
        <w:t xml:space="preserve">Pour illustrer notre propos nous prendrons l’exemple des plateformes pour mesurer et préserver la biodiversité. Afin de répondre aux obligations légales des entreprises qui depuis la loi sur les « Nouvelles Régulations économiques » de 2002, doivent informer sur « les mesures prises pour préserver ou développer la biodiversité » (décret n° 2012-557). De nombreuses plateformes sont apparues pour aider les entreprises à respecter la loi, toutefois l’usage de ces outils pose de nombreuses questions notamment concernant :</w:t>
      </w:r>
    </w:p>
    <w:p>
      <w:pPr>
        <w:pStyle w:val="BlockText"/>
      </w:pPr>
      <w:r>
        <w:t xml:space="preserve">« d’une part la question des hypothèses sur lesquelles reposent ces outils, qui peuvent être contestables scientifiquement ou socialement du fait du système de valeurs sur lequel ils s’appuient, et d’autre part la question de leur efficacité en termes de modification des représentations de l’environnement et, in fine, d’une meilleure prise en compte des questions environnementales dans les décisions. » (Wolff &amp; al. 2017)</w:t>
      </w:r>
    </w:p>
    <w:p>
      <w:pPr>
        <w:pStyle w:val="FirstParagraph"/>
      </w:pPr>
      <w:r>
        <w:t xml:space="preserve">Les problèmes relèvent principalement du « système du valeur » qui sous-tend la conception des plateformes et influent sur la production des données. Pour évaluer ces plateformes (Wolff &amp; al. 2017) ont utilisé un crible conceptuel pour mesurer la qualité des données sur trois aspects : la crédibilité, la pertinence et la légitimité (CPL). Leur étude s’appuie sur une méthode d’évaluation robuste qui révèlent les stratégies des acteurs de l’entreprise face à la préservation de l’environnement. Cette méthode offre un radar conceptuel pour positionner trois exigences fortes, complémentaires et indispensables à la conception d’un outil d’évaluation des impacts environnementaux de l’activité. Plus globalement, il offre un moyen simple permettant à chacun de positionner un point de vue par rapport à une données environnementale.</w:t>
      </w:r>
    </w:p>
    <w:p>
      <w:pPr>
        <w:pStyle w:val="BodyText"/>
      </w:pPr>
      <w:r>
        <w:t xml:space="preserve">comme la grille CPL. Le diagramme ci-dessous (Figure 1), illustre comment utiliser ce crible conceptuel dans une carte sémantique où chacun pourra par un simple clic situer son point de</w:t>
      </w:r>
      <w:r>
        <w:drawing>
          <wp:inline>
            <wp:extent cx="3237119" cy="2889359"/>
            <wp:effectExtent b="0" l="0" r="0" t="0"/>
            <wp:docPr descr="" title="" id="513" name="Picture"/>
            <a:graphic>
              <a:graphicData uri="http://schemas.openxmlformats.org/drawingml/2006/picture">
                <pic:pic>
                  <pic:nvPicPr>
                    <pic:cNvPr descr="media/1000000100000531000004ADCDEC4EC1C68E3B55.png" id="514" name="Picture"/>
                    <pic:cNvPicPr>
                      <a:picLocks noChangeArrowheads="1" noChangeAspect="1"/>
                    </pic:cNvPicPr>
                  </pic:nvPicPr>
                  <pic:blipFill>
                    <a:blip r:embed="rId512"/>
                    <a:stretch>
                      <a:fillRect/>
                    </a:stretch>
                  </pic:blipFill>
                  <pic:spPr bwMode="auto">
                    <a:xfrm>
                      <a:off x="0" y="0"/>
                      <a:ext cx="3237119" cy="2889359"/>
                    </a:xfrm>
                    <a:prstGeom prst="rect">
                      <a:avLst/>
                    </a:prstGeom>
                    <a:noFill/>
                    <a:ln w="9525">
                      <a:noFill/>
                      <a:headEnd/>
                      <a:tailEnd/>
                    </a:ln>
                  </pic:spPr>
                </pic:pic>
              </a:graphicData>
            </a:graphic>
          </wp:inline>
        </w:drawing>
      </w:r>
      <w:r>
        <w:t xml:space="preserve"> </w:t>
      </w:r>
      <w:r>
        <w:t xml:space="preserve">vue :</w:t>
      </w:r>
    </w:p>
    <w:p>
      <w:pPr>
        <w:pStyle w:val="BodyText"/>
      </w:pPr>
      <w:r>
        <w:br/>
      </w:r>
      <w:r>
        <w:t xml:space="preserve">Figure</w:t>
      </w:r>
      <w:r>
        <w:t xml:space="preserve"> </w:t>
      </w:r>
      <w:r>
        <w:rPr>
          <w:iCs/>
          <w:i/>
        </w:rPr>
        <w:t xml:space="preserve">1</w:t>
      </w:r>
      <w:r>
        <w:t xml:space="preserve">.</w:t>
      </w:r>
      <w:r>
        <w:t xml:space="preserve"> </w:t>
      </w:r>
      <w:r>
        <w:rPr>
          <w:iCs/>
          <w:i/>
        </w:rPr>
        <w:t xml:space="preserve">Crible conceptuel CPL</w:t>
      </w:r>
    </w:p>
    <w:p>
      <w:pPr>
        <w:pStyle w:val="BodyText"/>
      </w:pPr>
      <w:r>
        <w:t xml:space="preserve">La Figure 1 ci-dessus montre le résultat de plusieurs positionnements. L’application pour téléphone mobile avec laquelle sont fait ces positionnements, enregistre des données sur : quand, où et qui.</w:t>
      </w:r>
    </w:p>
    <w:p>
      <w:pPr>
        <w:pStyle w:val="BodyText"/>
      </w:pPr>
      <w:r>
        <w:t xml:space="preserve">Les données de positionnement spatiales et temporelles ne posent pas de problème particulier au niveau de leur objectivité car sauf erreur de la machine ou malveillance, elles font références à des normes de mesure, celles du GPS pour le « où » et celles des horloges mondiales pour le « quand ».</w:t>
      </w:r>
    </w:p>
    <w:bookmarkStart w:id="517" w:name="exemples-de-cribles-conceptuels"/>
    <w:p>
      <w:pPr>
        <w:pStyle w:val="Heading4"/>
      </w:pPr>
      <w:r>
        <w:t xml:space="preserve">5.0.4.1 Exemples de cribles conceptuels</w:t>
      </w:r>
    </w:p>
    <w:bookmarkStart w:id="515" w:name="qualification-du-réel"/>
    <w:p>
      <w:pPr>
        <w:pStyle w:val="Heading5"/>
      </w:pPr>
      <w:r>
        <w:t xml:space="preserve">Qualification du réel</w:t>
      </w:r>
    </w:p>
    <w:p>
      <w:pPr>
        <w:pStyle w:val="FirstParagraph"/>
      </w:pPr>
      <w:r>
        <w:t xml:space="preserve">« </w:t>
      </w:r>
    </w:p>
    <w:p>
      <w:pPr>
        <w:numPr>
          <w:ilvl w:val="0"/>
          <w:numId w:val="1039"/>
        </w:numPr>
        <w:pStyle w:val="Compact"/>
      </w:pPr>
      <w:r>
        <w:t xml:space="preserve">Le singulier : ce que l’on rencontre est un événement, une rupture par rapport à ce qui existait avant, et est proprement incomparable à tout ce qui l’entoure et ce que nous connaissons. Le singulier est un absolu, il impose à nous sa singularité. Répondre à ce singulier force à innover, à l’intégrer dans notre réalité alors qu’il la déborde. </w:t>
      </w:r>
    </w:p>
    <w:p>
      <w:pPr>
        <w:numPr>
          <w:ilvl w:val="0"/>
          <w:numId w:val="1039"/>
        </w:numPr>
        <w:pStyle w:val="Compact"/>
      </w:pPr>
      <w:r>
        <w:t xml:space="preserve">Le récurrent : ce que l’on rencontre a déjà eu lieu ; contrairement au singulier, le récurrent passe quasiment inaperçu, il ne fait pas événement mais conditionnement, il est à la source de nos habitudes.</w:t>
      </w:r>
    </w:p>
    <w:p>
      <w:pPr>
        <w:numPr>
          <w:ilvl w:val="0"/>
          <w:numId w:val="1039"/>
        </w:numPr>
        <w:pStyle w:val="Compact"/>
      </w:pPr>
      <w:r>
        <w:t xml:space="preserve">Le typique : le réel se manifeste à travers un objet ou une situation qui incarne selon nous un comportement à adopter. Le typique renvoie au lieu commun : quand on rencontre tel ou tel objet, on ne se pose pas de question, on agit de telle ou telle manière.</w:t>
      </w:r>
    </w:p>
    <w:p>
      <w:pPr>
        <w:numPr>
          <w:ilvl w:val="0"/>
          <w:numId w:val="1039"/>
        </w:numPr>
        <w:pStyle w:val="Compact"/>
      </w:pPr>
      <w:r>
        <w:t xml:space="preserve">Le particulier : le réel se manifeste comme le spécifique d’une règle ou catégorie générale. La réponse adoptée est celle qui est commandée par la catégorie qui le subsume.</w:t>
      </w:r>
    </w:p>
    <w:p>
      <w:pPr>
        <w:numPr>
          <w:ilvl w:val="0"/>
          <w:numId w:val="1039"/>
        </w:numPr>
        <w:pStyle w:val="Compact"/>
      </w:pPr>
      <w:r>
        <w:t xml:space="preserve">Enfin, l’instance est le réel correspondant à un type formel, ce qui se laisse enrôler dans un axiome ou une règle calculatoire ou logique. C’est le niveau des définitions implicites de Hilbert : on ne sait pas ce qu’est un ensemble, c’est ce qui se comporte comme les axiomes de Zermelo – Fraenkel avec l’axiome du choix (ZFC) ; de même on ne sait pas ce qu’est un nombre entier, mais c’est ce qui se comporte selon les axiomes de Peano. Dans cette optique, traiter ce qui arrive comme un instance revient à lui appliquer les règles ou axiomes régissant son comportement. » https://intelligibilite-numerique.numerev.com/manifeste</w:t>
      </w:r>
    </w:p>
    <w:bookmarkEnd w:id="515"/>
    <w:bookmarkStart w:id="516" w:name="les-valeurs-selon-gabriel-tarde"/>
    <w:p>
      <w:pPr>
        <w:pStyle w:val="Heading5"/>
      </w:pPr>
      <w:r>
        <w:t xml:space="preserve">Les valeurs selon Gabriel Tarde</w:t>
      </w:r>
    </w:p>
    <w:p>
      <w:pPr>
        <w:pStyle w:val="FirstParagraph"/>
      </w:pPr>
      <w:r>
        <w:t xml:space="preserve">Pour être plus précis et en adéquation avec les propositions qu’Yves Citton avancent pour réaliser une cartographie des affects à partir des principes de Spinoza et Tarde (Citton, 2008) nous remplaçons l’unique concept de confiance par un crible conceptuel (</w:t>
      </w:r>
      <w:hyperlink w:anchor="anchor-13">
        <w:r>
          <w:rPr>
            <w:rStyle w:val="Hyperlink"/>
          </w:rPr>
          <w:t xml:space="preserve">1.1.4Espaces conceptuels : connaissances des essences</w:t>
        </w:r>
      </w:hyperlink>
      <w:r>
        <w:t xml:space="preserve"> </w:t>
      </w:r>
      <w:r>
        <w:t xml:space="preserve">p. </w:t>
      </w:r>
      <w:hyperlink w:anchor="anchor-13">
        <w:r>
          <w:rPr>
            <w:rStyle w:val="Hyperlink"/>
          </w:rPr>
          <w:t xml:space="preserve">26</w:t>
        </w:r>
      </w:hyperlink>
      <w:r>
        <w:t xml:space="preserve">) qui décompose la valeur en trois registres :</w:t>
      </w:r>
    </w:p>
    <w:p>
      <w:pPr>
        <w:pStyle w:val="BodyText"/>
      </w:pPr>
      <w:r>
        <w:t xml:space="preserve">- les « valeurs-utilités » qui définissent l’offre et la demande</w:t>
      </w:r>
    </w:p>
    <w:p>
      <w:pPr>
        <w:pStyle w:val="BodyText"/>
      </w:pPr>
      <w:r>
        <w:t xml:space="preserve">- les « valeurs-vérités » qui mesurent les gains en connaissances et plus largement les phénomènes de croyances, de confiance, les attentes</w:t>
      </w:r>
    </w:p>
    <w:p>
      <w:pPr>
        <w:pStyle w:val="BodyText"/>
      </w:pPr>
      <w:r>
        <w:t xml:space="preserve">- les « valeurs-beautés » qui définissent le champ esthétique au sens de tout ce qui transforme nos goûts et nos sensibilités.</w:t>
      </w:r>
    </w:p>
    <w:bookmarkEnd w:id="516"/>
    <w:bookmarkEnd w:id="517"/>
    <w:bookmarkEnd w:id="518"/>
    <w:bookmarkStart w:id="519" w:name="sec-cartoSemantique"/>
    <w:p>
      <w:pPr>
        <w:pStyle w:val="Heading3"/>
      </w:pPr>
      <w:r>
        <w:t xml:space="preserve">5.0.5 Interaction par cartographie sémantique</w:t>
      </w:r>
    </w:p>
    <w:p>
      <w:pPr>
        <w:pStyle w:val="FirstParagraph"/>
      </w:pPr>
      <w:r>
        <w:t xml:space="preserve">(repris de Szoniecky &amp; Toumia 2019)</w:t>
      </w:r>
    </w:p>
    <w:p>
      <w:pPr>
        <w:pStyle w:val="BodyText"/>
      </w:pPr>
      <w:r>
        <w:t xml:space="preserve">C’est à partir de cette traduction analogique que nous proposons une représentation dynamique et interactive du pouvoir d’agir sous forme de cartographie sémantique que nous définissons comme des interfaces dynamiques et interactives composées :</w:t>
      </w:r>
    </w:p>
    <w:p>
      <w:pPr>
        <w:pStyle w:val="BodyText"/>
      </w:pPr>
      <w:r>
        <w:t xml:space="preserve">• d’un système de coordonnées conceptuelles pour formaliser une expression interopérable</w:t>
      </w:r>
    </w:p>
    <w:p>
      <w:pPr>
        <w:pStyle w:val="BodyText"/>
      </w:pPr>
      <w:r>
        <w:t xml:space="preserve">• d’une projection des concepts dans un vocabulaire graphique pour visualiser des expressions</w:t>
      </w:r>
    </w:p>
    <w:p>
      <w:pPr>
        <w:pStyle w:val="BodyText"/>
      </w:pPr>
      <w:r>
        <w:t xml:space="preserve">• de dispositifs d’interactions avec l’utilisateur (click, drag &amp; drop, capture de gestes, etc.) pour manipuler des expressions</w:t>
      </w:r>
    </w:p>
    <w:p>
      <w:pPr>
        <w:pStyle w:val="BodyText"/>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pStyle w:val="BodyText"/>
      </w:pPr>
      <w:r>
        <w:t xml:space="preserve">• espaces matériels</w:t>
      </w:r>
    </w:p>
    <w:p>
      <w:pPr>
        <w:pStyle w:val="BodyText"/>
      </w:pPr>
      <w:r>
        <w:t xml:space="preserve">• espaces conceptuels</w:t>
      </w:r>
    </w:p>
    <w:p>
      <w:pPr>
        <w:pStyle w:val="BodyText"/>
      </w:pPr>
      <w:r>
        <w:t xml:space="preserve">• réseaux d’acteurs</w:t>
      </w:r>
    </w:p>
    <w:p>
      <w:pPr>
        <w:pStyle w:val="BodyText"/>
      </w:pPr>
      <w:r>
        <w:t xml:space="preserve">• temporalités.</w:t>
      </w:r>
    </w:p>
    <w:p>
      <w:pPr>
        <w:pStyle w:val="BodyText"/>
      </w:pPr>
      <w:r>
        <w:t xml:space="preserve">Le passage par ces systèmes de coordonnés permet de formaliser l’expression pour la rendre interopérable avec d’autres expressions. Ainsi l’interprétation passe par le positionnement de l’utilisateur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bookmarkEnd w:id="519"/>
    <w:bookmarkStart w:id="520" w:name="sec-protosHN"/>
    <w:p>
      <w:pPr>
        <w:pStyle w:val="Heading3"/>
      </w:pPr>
      <w:r>
        <w:t xml:space="preserve">5.0.6 Conception de prototypes pour les humanités numériques</w:t>
      </w:r>
    </w:p>
    <w:p>
      <w:pPr>
        <w:pStyle w:val="FirstParagraph"/>
      </w:pPr>
      <w:r>
        <w:t xml:space="preserve">Concevoir des outils est un travail long qui demande de bien comprendre les usages particuliers d’un domaine pour en extraire une généricité opératoire dont l’outil sera la mise en forme. Mais cette capacité à formaliser dans un artefact une solution pour améliorer une activité ne suffit pas à faire un outil, il faut aussi comme la bien montré Leroi Gourhan que cette forme soit adoptée par une communauté d’utilisateur et cela même si la solution proposée n’est pas la plus adéquate :</w:t>
      </w:r>
    </w:p>
    <w:bookmarkEnd w:id="520"/>
    <w:bookmarkEnd w:id="521"/>
    <w:bookmarkStart w:id="540" w:name="sec-etatArtEpistemo"/>
    <w:p>
      <w:pPr>
        <w:pStyle w:val="Heading1"/>
      </w:pPr>
      <w:r>
        <w:t xml:space="preserve">6. Etat de l’art épistémologique</w:t>
      </w:r>
    </w:p>
    <w:bookmarkStart w:id="522" w:name="epistémologie-générique"/>
    <w:p>
      <w:pPr>
        <w:pStyle w:val="Heading3"/>
      </w:pPr>
      <w:r>
        <w:t xml:space="preserve">6.0.1 Epistémologie générique</w:t>
      </w:r>
    </w:p>
    <w:p>
      <w:pPr>
        <w:pStyle w:val="FirstParagraph"/>
      </w:pPr>
      <w:r>
        <w:t xml:space="preserve">« L’épistémologie générique transforme les points d’attention épistémologiques et les postures qu’ils induisent dans les lieux d’interdiscipline en un système de reconnaissance scientifique et philosophique, et un système d’accueil des sciences et des philosophies dans leurs hétérogénéités. Elle pose des fondamentaux et des méthodes pour fonder deux séries de procédures. Elle met à disposition de tous les corps de métiers qui produisent et utilisent les connaissances, des outils permettant d’accéder aux fondamentaux et de façonner des méthodes pertinentes pour réaliser ces partages. Nous verrons que ce partage a une forme donnée par la fiction, une impulsion donnée par le futur, des dynamiques spatiales et temporelles données par le virtuel. Ces opérateurs combinent un générique d’origines philosophique, éthique et scientifique et une connaissance sous la connaissance. Ils sont aussi manifestes invisibles de la science. » (Schmid &amp; Mambrini-Doudet, 2019b)§ 2</w:t>
      </w:r>
    </w:p>
    <w:p>
      <w:pPr>
        <w:pStyle w:val="BodyText"/>
      </w:pPr>
      <w:r>
        <w:t xml:space="preserve">« Le générique demande un lieu scientifique qui ne nie pas les disciplines, en tienne compte, mais n’en dépende pas.</w:t>
      </w:r>
    </w:p>
    <w:p>
      <w:pPr>
        <w:pStyle w:val="BodyText"/>
      </w:pPr>
      <w:r>
        <w:t xml:space="preserve">Dans ce lieu scientifique :</w:t>
      </w:r>
    </w:p>
    <w:p>
      <w:pPr>
        <w:pStyle w:val="BodyText"/>
      </w:pPr>
      <w:r>
        <w:t xml:space="preserve">■ on accède aux caractéristiques du lieu commun aux disciplines,</w:t>
      </w:r>
    </w:p>
    <w:p>
      <w:pPr>
        <w:pStyle w:val="BodyText"/>
      </w:pPr>
      <w:r>
        <w:t xml:space="preserve">■ la reconnaissance mutuelle des contributions des disciplines est promue,</w:t>
      </w:r>
    </w:p>
    <w:p>
      <w:pPr>
        <w:pStyle w:val="BodyText"/>
      </w:pPr>
      <w:r>
        <w:t xml:space="preserve">■ les composantes des disciplines et leurs contrastes sont des dimensions du dispositif de partage des connaissances,</w:t>
      </w:r>
    </w:p>
    <w:p>
      <w:pPr>
        <w:pStyle w:val="BodyText"/>
      </w:pPr>
      <w:r>
        <w:t xml:space="preserve">■ la science se dégage également des flux de connaissances et des trajectoires des concepts. » (Schmid &amp; Mambrini-Doudet, 2019b)§ 5</w:t>
      </w:r>
    </w:p>
    <w:p>
      <w:pPr>
        <w:pStyle w:val="BodyText"/>
      </w:pPr>
      <w:r>
        <w:t xml:space="preserve">Henri Poincaré décrit un espace inclus entre deux bornes, celle de l’esprit et celle de l’expérience. Entre ces deux bornes, les disciplines s’ordonnent horizontalement et de manière fixe, selon la place relative qu’elles laissent à l’esprit et à l’expérience. L’ordre est le suivant, en allant de l’esprit à l’expérience : arithmétique, algèbre, analyse, géométrie, mécanique, physique mathématique, physique expérimentale. L’ordre vertical est celui qui garantit la rigueur du passage entre les faits bruts et les généralisations, laissant la possibilité d’intermédiaires nombreux et variables suivant les disciplines (fait scientifique, conventions, lois, principes…). (Schmid &amp; Mambrini-Doudet, 2019b)§ 21</w:t>
      </w:r>
    </w:p>
    <w:p>
      <w:pPr>
        <w:pStyle w:val="BodyText"/>
      </w:pPr>
      <w:r>
        <w:t xml:space="preserve">« L’intimité collective donne les conditions à la fois de l’échange collectif et de la prise en compte de l’hétérogène de façon forte, sans en faire une diversité indifférente. » (Schmid &amp; Mambrini-Doudet, 2019b) § 21 // conversation créative = stimuler la rencontre</w:t>
      </w:r>
    </w:p>
    <w:p>
      <w:pPr>
        <w:pStyle w:val="BodyText"/>
      </w:pPr>
      <w:r>
        <w:t xml:space="preserve">« Chaque opérateur ouvre l’espace générique selon des modalités différentes. Si on se place du point de vue des disciplines :</w:t>
      </w:r>
    </w:p>
    <w:p>
      <w:pPr>
        <w:pStyle w:val="BodyText"/>
      </w:pPr>
      <w:r>
        <w:t xml:space="preserve">■ le futur introduit le générique par sa fonction de coupure,</w:t>
      </w:r>
    </w:p>
    <w:p>
      <w:pPr>
        <w:pStyle w:val="BodyText"/>
      </w:pPr>
      <w:r>
        <w:t xml:space="preserve">■ le virtuel multiplie les niveaux et assure la mobilité d’un niveau à l’autre ou d’une échelle à l’autre,</w:t>
      </w:r>
    </w:p>
    <w:p>
      <w:pPr>
        <w:pStyle w:val="BodyText"/>
      </w:pPr>
      <w:r>
        <w:t xml:space="preserve">■ la fiction ouvre par expansion des possibilités d’articulation. » (Schmid &amp; Mambrini-Doudet, 2019b)§ 43</w:t>
      </w:r>
    </w:p>
    <w:bookmarkEnd w:id="522"/>
    <w:bookmarkStart w:id="523" w:name="ontologie-éthique"/>
    <w:p>
      <w:pPr>
        <w:pStyle w:val="Heading3"/>
      </w:pPr>
      <w:r>
        <w:t xml:space="preserve">6.0.2 Ontologie – Éthique</w:t>
      </w:r>
    </w:p>
    <w:p>
      <w:pPr>
        <w:pStyle w:val="FirstParagraph"/>
      </w:pPr>
      <w:r>
        <w:t xml:space="preserve">Le modèle Spino-Deleuzien</w:t>
      </w:r>
    </w:p>
    <w:p>
      <w:pPr>
        <w:pStyle w:val="BodyText"/>
      </w:pPr>
      <w:r>
        <w:t xml:space="preserve">Le modèle de Ricoeur : lui aussi ternaire et mettant en relation modélisation de l’existence et expérience de connaissance.</w:t>
      </w:r>
    </w:p>
    <w:p>
      <w:pPr>
        <w:pStyle w:val="BodyText"/>
      </w:pPr>
      <w:r>
        <w:t xml:space="preserve">« Je suis parti sur une conception à trois étages du problème moral, à savoir, l’éthique, la morale et la sagesse pratique. » (Ricœur, 2017, § 4)</w:t>
      </w:r>
    </w:p>
    <w:p>
      <w:pPr>
        <w:pStyle w:val="BodyText"/>
      </w:pPr>
      <w:r>
        <w:t xml:space="preserve">« Le rapport médical parcourt non seulement les trois moments de l’éthique, mais les trois niveaux de l’expérience morale : le souhait de vivre bien, l’obligation morale, la décision sage et prudente. » (Ricœur, 2017, § 8)</w:t>
      </w:r>
    </w:p>
    <w:p>
      <w:pPr>
        <w:pStyle w:val="BodyText"/>
      </w:pPr>
      <w:r>
        <w:t xml:space="preserve">Il met aussi l’accent sur la dimension médicale (pharmakon) équivalente au problème de « fake-news » = une information malade. Mais attention au niveau de connaissance de la donation : retweet = choc, commentaire = rappor, analyse = essences</w:t>
      </w:r>
    </w:p>
    <w:p>
      <w:pPr>
        <w:pStyle w:val="BodyText"/>
      </w:pPr>
      <w:r>
        <w:t xml:space="preserve">« Donner-recevoir, lorsqu’on ne peut plus faire. Et défendre, jusqu’au bout, cette capacité d’échange dans le donner-recevoir. C’est un petit peu ce que vous disiez tout à l’heure : ce que vous recevez dans le regard de vos malades. C’est l’apprentissage de votre propre humanité. De ce point de vue-là, il faut aider le grand malade, le mourant, à être encore un donateur, pas simplement un recevant… » (Ricœur, 2017, § 34)</w:t>
      </w:r>
    </w:p>
    <w:p>
      <w:pPr>
        <w:pStyle w:val="BodyText"/>
      </w:pPr>
      <w:r>
        <w:t xml:space="preserve">Il propose une justice de la proportionnalité des rapports :</w:t>
      </w:r>
    </w:p>
    <w:p>
      <w:pPr>
        <w:pStyle w:val="BodyText"/>
      </w:pPr>
      <w:r>
        <w:t xml:space="preserve">« C’est une règle économique de base, la proportionnalité. Les Grecs étaient venus à cette idée par les proportions : A sur B = C sur D. Analogia, c’est la proportionnalité analogique. D’où l’idée de justice proportionnelle « analogique » : introduire un rapport analogique entre des inégaux. C’est vrai que l’arrivée à la mort, c’est l’arrivée à l’inégalité entre celui qui est et celui qui va ne plus être, rupture absolue de la présence mutuelle. » (Ricœur, 2017, § 44)</w:t>
      </w:r>
    </w:p>
    <w:bookmarkEnd w:id="523"/>
    <w:bookmarkStart w:id="524" w:name="actionSitue"/>
    <w:p>
      <w:pPr>
        <w:pStyle w:val="Heading3"/>
      </w:pPr>
      <w:r>
        <w:t xml:space="preserve">6.0.3 Action située</w:t>
      </w:r>
    </w:p>
    <w:p>
      <w:pPr>
        <w:pStyle w:val="FirstParagraph"/>
      </w:pPr>
      <w:r>
        <w:t xml:space="preserve">dans une « action située » dont nous reprenons la définition suivante  :</w:t>
      </w:r>
    </w:p>
    <w:p>
      <w:pPr>
        <w:pStyle w:val="BlockText"/>
      </w:pPr>
      <w:r>
        <w:t xml:space="preserve">« ce modèle a été développé pour répondre à certaines difficultés inhérentes à l’approche de l’action en termes de « plan », difficultés que l’on a tenté de résoudre :</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(Quéré, 2020, § 3)</w:t>
      </w:r>
    </w:p>
    <w:bookmarkEnd w:id="524"/>
    <w:bookmarkStart w:id="525" w:name="méthode-de-conceptualisation-relativisée"/>
    <w:p>
      <w:pPr>
        <w:pStyle w:val="Heading3"/>
      </w:pPr>
      <w:r>
        <w:t xml:space="preserve">6.0.4 Méthode de conceptualisation relativisée</w:t>
      </w:r>
    </w:p>
    <w:bookmarkEnd w:id="525"/>
    <w:bookmarkStart w:id="526" w:name="cribles-et-analogies"/>
    <w:p>
      <w:pPr>
        <w:pStyle w:val="Heading3"/>
      </w:pPr>
      <w:r>
        <w:t xml:space="preserve">6.0.5 Cribles et analogies</w:t>
      </w:r>
    </w:p>
    <w:bookmarkEnd w:id="526"/>
    <w:bookmarkStart w:id="527" w:name="morphogénèse"/>
    <w:p>
      <w:pPr>
        <w:pStyle w:val="Heading3"/>
      </w:pPr>
      <w:r>
        <w:t xml:space="preserve">6.0.6 Morphogénèse</w:t>
      </w:r>
    </w:p>
    <w:p>
      <w:pPr>
        <w:pStyle w:val="FirstParagraph"/>
      </w:pPr>
      <w:r>
        <w:t xml:space="preserve">C’est la</w:t>
      </w:r>
      <w:r>
        <w:t xml:space="preserve"> </w:t>
      </w:r>
      <w:r>
        <w:t xml:space="preserve">“</w:t>
      </w:r>
      <w:r>
        <w:t xml:space="preserve">dialectique</w:t>
      </w:r>
      <w:r>
        <w:t xml:space="preserve">”</w:t>
      </w:r>
      <w:r>
        <w:t xml:space="preserve"> </w:t>
      </w:r>
      <w:r>
        <w:t xml:space="preserve">subtile entre dynamique interne et espace externe qui rend possible la modélisation mathématique des formes. Changement radical du statut de l’espace-temps, caractère spontanément morphogène des déploiements spatiotemporels d’instabilités de dynamiques locales interagissantes: voilà le saut qu’il fallait franchir pour accéder à une explication physicaliste des formes. (Petitot, 1998) p. 8</w:t>
      </w:r>
    </w:p>
    <w:p>
      <w:pPr>
        <w:pStyle w:val="BodyText"/>
      </w:pPr>
      <w:r>
        <w:t xml:space="preserve">voir cet article pour un historique de la questionnement</w:t>
      </w:r>
    </w:p>
    <w:bookmarkEnd w:id="527"/>
    <w:bookmarkStart w:id="529" w:name="diagrammes-et-cartographie"/>
    <w:p>
      <w:pPr>
        <w:pStyle w:val="Heading3"/>
      </w:pPr>
      <w:r>
        <w:t xml:space="preserve">6.0.7 Diagrammes et cartographie</w:t>
      </w:r>
    </w:p>
    <w:p>
      <w:pPr>
        <w:pStyle w:val="FirstParagraph"/>
      </w:pPr>
      <w:r>
        <w:t xml:space="preserve">« Un diagramme n’est pas une simple figure destinée à rendre visible, il n’est même pas essentiellement visuel : il relève davantage d’une « lecture » de relations rationnelles qu’il présente et à laquelle il invite l’esprit ; on n’accède à ces relations que par une modalité déterminée d’abstraction représentative. » (Chouchan, 2020)§ 43</w:t>
      </w:r>
    </w:p>
    <w:p>
      <w:pPr>
        <w:pStyle w:val="BodyText"/>
      </w:pPr>
      <w:r>
        <w:t xml:space="preserve">« Pour ce faire, nous tenterons de dégager le diagramme d’ aujourd’hui, dans le sens où ce terme est employé par Gilles Deleuze, à savoir une représentation, une exposition « des rapports de force qui constituent le pouvoir ». » (Khatchatourov, 2017, p. 67)</w:t>
      </w:r>
    </w:p>
    <w:p>
      <w:pPr>
        <w:pStyle w:val="BodyText"/>
      </w:pPr>
      <w:r>
        <w:t xml:space="preserve">La modélisation des pulsations existentielles sous forme de diagramme onto-éthique montre les rapports des forces internes (dicerner-choisir-agir) mais aussi les rapports de forces externes entre deux diagrammes qui sont de l’ordre de l’opposition pour les physicalités, de l’hybridation pour les acteurs et de la symbiose pour les concepts…</w:t>
      </w:r>
    </w:p>
    <w:p>
      <w:pPr>
        <w:pStyle w:val="BodyText"/>
      </w:pPr>
      <w:r>
        <w:t xml:space="preserve">« Le diagramme doit donc être potentiellement producteur et reproducteur d’autre chose que ce qu’il représente et jouer ainsi le rôle d’une matrice générative. »</w:t>
      </w:r>
      <w:r>
        <w:t xml:space="preserve"> </w:t>
      </w:r>
      <w:hyperlink r:id="rId528">
        <w:r>
          <w:rPr>
            <w:rStyle w:val="Hyperlink"/>
          </w:rPr>
          <w:t xml:space="preserve">http://intelligibilite-numerique.numerev.com/numeros/n-3-2022/2629-ingenierie-semiotique-et-modelisation-diagrammatique-au-dela-du-modele-de-turing</w:t>
        </w:r>
      </w:hyperlink>
      <w:r>
        <w:t xml:space="preserve"> </w:t>
      </w:r>
      <w:r>
        <w:t xml:space="preserve">(Ferri, 2020)</w:t>
      </w:r>
    </w:p>
    <w:p>
      <w:pPr>
        <w:pStyle w:val="BodyText"/>
      </w:pPr>
      <w:r>
        <w:t xml:space="preserve">« Nous proposons un autre principe de modélisation, complémentaire au principe de formalisation logique, que nous nommons principe de modélisation diagrammatique (Ferri, 2021a, p. 422). Il doit permettre d’exprimer le contenu non logique d’une connaissance phénoménologique, c’est-à-dire la structure qualitative sur laquelle s’appuie la faculté intuitive non logique, qui était déjà reconnue par Turing dans le §11 de sa thèse comme l’une des deux sources du raisonnement mathématique (Turing, 1939, p. 214-215). » (ibid</w:t>
      </w:r>
    </w:p>
    <w:p>
      <w:pPr>
        <w:pStyle w:val="BodyText"/>
      </w:pPr>
      <w:r>
        <w:t xml:space="preserve">« Le principe d’opérationnalisation est celui qui fait passer le diagramme du statut de modèle de résolution à celui d’outil de résolution, grâce à ses propriétés iconiques. » (ibid)</w:t>
      </w:r>
    </w:p>
    <w:p>
      <w:pPr>
        <w:pStyle w:val="BodyText"/>
      </w:pPr>
      <w:r>
        <w:t xml:space="preserve">« Dans cette première perspective, les diagrammes doivent être compris comme des modèles d’intelligibilité. Deuxièmement, l’expressivité des diagrammes rend possible leur isodynamisme opérationnel à des situations d’interactions et à des enchaînements d’opérations qui en font des guides permettant de lire des situations réelles à partir d’idéaux-types et d’y répondre pragmatiquement. Suivant cette seconde perspective, les diagrammes doivent être compris comme des idéaux-types d’actions à accomplir. » (ibid)</w:t>
      </w:r>
    </w:p>
    <w:bookmarkEnd w:id="529"/>
    <w:bookmarkStart w:id="532" w:name="analyse-des-données-dapprentissage"/>
    <w:p>
      <w:pPr>
        <w:pStyle w:val="Heading3"/>
      </w:pPr>
      <w:r>
        <w:t xml:space="preserve">6.0.8 Analyse des données d’apprentissage</w:t>
      </w:r>
    </w:p>
    <w:bookmarkStart w:id="530" w:name="interprétation-des-traces"/>
    <w:p>
      <w:pPr>
        <w:pStyle w:val="Heading4"/>
      </w:pPr>
      <w:r>
        <w:t xml:space="preserve">6.0.8.1 Interprétation des traces</w:t>
      </w:r>
    </w:p>
    <w:p>
      <w:pPr>
        <w:pStyle w:val="FirstParagraph"/>
      </w:pPr>
      <w:r>
        <w:t xml:space="preserve">« Ainsi, la restitution des traces d’activité à l’utilisateur est en mesure de renforcer sa ré exivité à partir des trois types de rétention que nous empruntons à B. Stiegler (2001) : en activant les supports de mémoire comme trace écrite (rétention tertiaire), en activant les souvenirs (rétention secondaire) en activant la conscience générale de l’individu (rétention primaire). » (Hulin, 2020, p. 107)</w:t>
      </w:r>
    </w:p>
    <w:p>
      <w:pPr>
        <w:pStyle w:val="BodyText"/>
      </w:pPr>
      <w:r>
        <w:t xml:space="preserve">(Rodighiero, 2021)</w:t>
      </w:r>
    </w:p>
    <w:bookmarkEnd w:id="530"/>
    <w:bookmarkStart w:id="531" w:name="biblioéconomie"/>
    <w:p>
      <w:pPr>
        <w:pStyle w:val="Heading4"/>
      </w:pPr>
      <w:r>
        <w:t xml:space="preserve">6.0.8.2 biblioéconomie</w:t>
      </w:r>
    </w:p>
    <w:p>
      <w:pPr>
        <w:pStyle w:val="FirstParagraph"/>
      </w:pPr>
      <w:r>
        <w:t xml:space="preserve">“Nous proposons cette simplification de l’équation dans un premier temps :</w:t>
      </w:r>
    </w:p>
    <w:p>
      <w:pPr>
        <w:pStyle w:val="BodyText"/>
      </w:pPr>
      <w:r>
        <w:t xml:space="preserve">C+∆C = C’ C : exprime l’état des connaissances</w:t>
      </w:r>
    </w:p>
    <w:p>
      <w:pPr>
        <w:pStyle w:val="BodyText"/>
      </w:pPr>
      <w:r>
        <w:t xml:space="preserve">C’ : un nouvel état de la connaissance par ∆C</w:t>
      </w:r>
    </w:p>
    <w:p>
      <w:pPr>
        <w:pStyle w:val="BodyText"/>
      </w:pPr>
      <w:r>
        <w:t xml:space="preserve">∆C : l’apport d’une connaissance extraite d’une information.</w:t>
      </w:r>
    </w:p>
    <w:p>
      <w:pPr>
        <w:pStyle w:val="BodyText"/>
      </w:pPr>
      <w:r>
        <w:t xml:space="preserve">Pour l’image nous pourrions penser que : C+∆CI = C’I</w:t>
      </w:r>
    </w:p>
    <w:p>
      <w:pPr>
        <w:pStyle w:val="BodyText"/>
      </w:pPr>
      <w:r>
        <w:t xml:space="preserve">∆CI : un nouvel état de connaissance amenée grâce à l’image ou un nouveau stock d’images compris dans une somme de livres.</w:t>
      </w:r>
    </w:p>
    <w:p>
      <w:pPr>
        <w:pStyle w:val="BodyText"/>
      </w:pPr>
      <w:r>
        <w:t xml:space="preserve">L’équation fondamentale pour la relation entre information image et connaissance image pourrait-être : C(S) +∆CI = C(S+∆CI)” p. 27</w:t>
      </w:r>
    </w:p>
    <w:p>
      <w:pPr>
        <w:pStyle w:val="BodyText"/>
      </w:pPr>
      <w:r>
        <w:t xml:space="preserve">Langlois, B., 2019. Culture de l’information, culture de l’image et culture par l’image dans l’enseignement secondaire (phdthesis). Université Paul Valéry - Montpellier III.</w:t>
      </w:r>
    </w:p>
    <w:p>
      <w:pPr>
        <w:pStyle w:val="BodyText"/>
      </w:pPr>
      <w:r>
        <w:t xml:space="preserve">“</w:t>
      </w:r>
      <w:r>
        <w:t xml:space="preserve">Le facteur d’impact</w:t>
      </w:r>
      <w:r>
        <w:t xml:space="preserve"> </w:t>
      </w:r>
      <w:r>
        <w:rPr>
          <w:iCs/>
          <w:i/>
        </w:rPr>
        <w:t xml:space="preserve">If</w:t>
      </w:r>
      <w:r>
        <w:t xml:space="preserve"> </w:t>
      </w:r>
      <w:r>
        <w:t xml:space="preserve">d’une revue scientifique mesure la fréquence avec laquelle, pendant une année donnée, l’article</w:t>
      </w:r>
      <w:r>
        <w:t xml:space="preserve">”</w:t>
      </w:r>
      <w:r>
        <w:t xml:space="preserve">moyen” d’une revue est cité dans les articles d’autres revues. C’est le rapport entre le nombre de citations reçues par une revue pendant une année et le nombre d’articles publiés pendant les deux années précédentes” p. 7</w:t>
      </w:r>
    </w:p>
    <w:p>
      <w:pPr>
        <w:pStyle w:val="BodyText"/>
      </w:pPr>
      <w:r>
        <w:t xml:space="preserve">Coadic, Y.-F.L., n.d. N(OMBRE) ou LUMIERE - usage des Xmètries en science de l’information et en science de la communication 12.</w:t>
      </w:r>
    </w:p>
    <w:p>
      <w:pPr>
        <w:pStyle w:val="BodyText"/>
      </w:pPr>
      <w:r>
        <w:t xml:space="preserve">Boutin, E., Liu, P., Goria, S., Dumas, P., David, A., 2008. Les SIC à partir du thésaurus Rameau. Représentation ou interprétation ? Presented at the 16ème Congrès de la SFSIC - Société française des sciences de l’information et de la communication, pp. 1–12.</w:t>
      </w:r>
    </w:p>
    <w:bookmarkEnd w:id="531"/>
    <w:bookmarkEnd w:id="532"/>
    <w:bookmarkStart w:id="533" w:name="explorations-analogiques"/>
    <w:p>
      <w:pPr>
        <w:pStyle w:val="Heading3"/>
      </w:pPr>
      <w:r>
        <w:t xml:space="preserve">6.0.9 Explorations analogiques</w:t>
      </w:r>
    </w:p>
    <w:p>
      <w:pPr>
        <w:pStyle w:val="FirstParagraph"/>
      </w:pPr>
      <w:r>
        <w:t xml:space="preserve">“</w:t>
      </w:r>
      <w:r>
        <w:t xml:space="preserve">Les métaphores et le flou qu’elles introduisent, les notions ambivalentes et les ambiguïtés qu’elles suscitent ne sont pas à écarter mais à encourager au moins dans une certaine mesure [Cartwright, 1983]. Dans ces circonstances, il est possible de tester des prédictions empiriques dérivées d’énoncés théoriques ou de décider si une théorie rend mieux compte qu’une autre d’un ensemble d’observations.</w:t>
      </w:r>
      <w:r>
        <w:t xml:space="preserve">”</w:t>
      </w:r>
      <w:r>
        <w:t xml:space="preserve"> </w:t>
      </w:r>
      <w:r>
        <w:t xml:space="preserve">§ 18 Callon 2013</w:t>
      </w:r>
    </w:p>
    <w:p>
      <w:pPr>
        <w:pStyle w:val="BodyText"/>
      </w:pPr>
      <w:r>
        <w:t xml:space="preserve">« Les compétences des chercheurs sont sensorielles et cognitives. Le scientifique doit être capable d’articuler des énoncés qui intègrent ses observations. Il est ainsi dépendant de ses cinq sens et particulièrement de la vue (l’observation est toujours mentionnée). Le scientifique doit être également capable d’imaginer des énoncés qui ne sont pas directement liés à l’observation et d’introduire entre eux des traductions. Des auteurs comme Holton et Hesse7 soulignent sa capacité à produire des métaphores et des analogies. » § 21</w:t>
      </w:r>
    </w:p>
    <w:p>
      <w:pPr>
        <w:pStyle w:val="BodyText"/>
      </w:pPr>
      <w:r>
        <w:t xml:space="preserve">« Le scientifique est prisonnier d’une double injonction : il doit imaginer, concevoir et produire sans relâche un nombre croissant d’énoncés qu’il doit soumettre simultanément à la critique impitoyable des collègues. » § 24</w:t>
      </w:r>
    </w:p>
    <w:p>
      <w:pPr>
        <w:pStyle w:val="BodyText"/>
      </w:pPr>
      <w:r>
        <w:t xml:space="preserve">« Chaque traduction nouvelle produit un écart par rapport aux traductions antérieures qu’elle menace. L’hypothèse du modèle de la traduction est simple : le monde est peuplé d’actants, qui ont été construits par les traductions antérieures et qui sont eux-mêmes engagés dans des traductions nouvelles qui accroissent les risques et les occasions de divergence. » § 120</w:t>
      </w:r>
    </w:p>
    <w:p>
      <w:pPr>
        <w:pStyle w:val="BodyText"/>
      </w:pPr>
      <w:r>
        <w:t xml:space="preserve">“</w:t>
      </w:r>
      <w:r>
        <w:t xml:space="preserve">Pour remplir un tel programme, une théorie des</w:t>
      </w:r>
      <w:r>
        <w:t xml:space="preserve"> </w:t>
      </w:r>
      <w:r>
        <w:t xml:space="preserve">‘</w:t>
      </w:r>
      <w:r>
        <w:t xml:space="preserve">Gestalten</w:t>
      </w:r>
      <w:r>
        <w:t xml:space="preserve">’</w:t>
      </w:r>
      <w:r>
        <w:t xml:space="preserve"> </w:t>
      </w:r>
      <w:r>
        <w:t xml:space="preserve">est nécessaire, et elle doit être assez souple pour rendre compte formellement des possibilités déductives du langage usuel. Elle devra donc simuler, fournir un modèle, de l’univers sémantique de nos langages. Nous voici reconduits au rêve de la Caractéristique Universelle de Leibniz (avec cette</w:t>
      </w:r>
      <w:r>
        <w:br/>
      </w:r>
      <w:r>
        <w:t xml:space="preserve">restriction que le calcul sur les formes pourrait être une opération plus souple qu’un simple calcul algébrique...). La théorie des catastrophes, dans la mesure où elle fournit une théorie de l’analogie, est sans doute un premier pas dans cette voie.</w:t>
      </w:r>
      <w:r>
        <w:t xml:space="preserve">”</w:t>
      </w:r>
      <w:r>
        <w:t xml:space="preserve"> </w:t>
      </w:r>
      <w:r>
        <w:t xml:space="preserve">(Thom, 1975)p. 373</w:t>
      </w:r>
    </w:p>
    <w:bookmarkEnd w:id="533"/>
    <w:bookmarkStart w:id="539" w:name="modélisation-écosystémique"/>
    <w:p>
      <w:pPr>
        <w:pStyle w:val="Heading3"/>
      </w:pPr>
      <w:r>
        <w:t xml:space="preserve">6.0.10 Modélisation écosystémique</w:t>
      </w:r>
    </w:p>
    <w:bookmarkStart w:id="534" w:name="géométrisation-des-espaces-sémiologiques"/>
    <w:p>
      <w:pPr>
        <w:pStyle w:val="Heading4"/>
      </w:pPr>
      <w:r>
        <w:t xml:space="preserve">6.0.10.1 Géométrisation des espaces sémiologiques</w:t>
      </w:r>
    </w:p>
    <w:p>
      <w:pPr>
        <w:pStyle w:val="FirstParagraph"/>
      </w:pPr>
      <w:r>
        <w:t xml:space="preserve">« Dans ce contexte, la T.C. ouvre à une nouvelle stratégie complémentaire et authentiquement structurale, constituant la description en objectivité.Mais elle paye son frayage d’abord par une complexité mathématique qui devient vite redoutable, ensuite par une certaine difficulté à maîtriser les analogies qu’elle manipule et à éviter leur chute dans une herméneutique</w:t>
      </w:r>
      <w:r>
        <w:t xml:space="preserve"> </w:t>
      </w:r>
      <w:r>
        <w:t xml:space="preserve">“</w:t>
      </w:r>
      <w:r>
        <w:t xml:space="preserve">géométrique</w:t>
      </w:r>
      <w:r>
        <w:t xml:space="preserve">”</w:t>
      </w:r>
      <w:r>
        <w:t xml:space="preserve"> </w:t>
      </w:r>
      <w:r>
        <w:t xml:space="preserve">imaginaire. » (Petitot, s. d.)</w:t>
      </w:r>
    </w:p>
    <w:bookmarkEnd w:id="534"/>
    <w:bookmarkStart w:id="536" w:name="X45163a2794dc286601d495c71be692e93bc2f15"/>
    <w:p>
      <w:pPr>
        <w:pStyle w:val="Heading4"/>
      </w:pPr>
      <w:r>
        <w:t xml:space="preserve">6.0.10.2 Limite du vivant : formes de vie et modes d’existences</w:t>
      </w:r>
    </w:p>
    <w:p>
      <w:pPr>
        <w:pStyle w:val="FirstParagraph"/>
      </w:pPr>
      <w:r>
        <w:t xml:space="preserve">« Bien qu’ils ne connaissent ni la douleur, ni le rire, ils ont par leur mode ou leur style d’existence une forme de vie singulière qui structure le donné ou la matière des autres entités auxquels ils participent. De ce fait, en s’immisçant dans l’armature de ces entités, ils conditionnent leur forme d’espace, les enjoignant de se plier à une charpente qu’elles n’ont pas choisie. » § 1</w:t>
      </w:r>
    </w:p>
    <w:p>
      <w:pPr>
        <w:pStyle w:val="BodyText"/>
      </w:pPr>
      <w:r>
        <w:t xml:space="preserve">« </w:t>
      </w:r>
      <w:r>
        <w:rPr>
          <w:iCs/>
          <w:i/>
        </w:rPr>
        <w:t xml:space="preserve">Il s’ensuit que les formes de vie sont des modèles dynamiques qui, selon les auteurs, se distinguent ou non des styles de vie marqués par leurs déterminations sociales statiques, capables de se réinventer à chaque instant. Par conséquent, les formes de vie ne peuvent – pour Jacques Fontanille – faire l’objet, par principe et par définition, d’aucune typologie générale, et, c’est ce qui les distingue de toutes les tentatives de classifications totalisantes, de nature sociologique, anthropologique ou idéologique » §</w:t>
      </w:r>
      <w:r>
        <w:t xml:space="preserve"> </w:t>
      </w:r>
      <w:r>
        <w:t xml:space="preserve">3**</w:t>
      </w:r>
    </w:p>
    <w:p>
      <w:pPr>
        <w:pStyle w:val="BodyText"/>
      </w:pPr>
      <w:r>
        <w:rPr>
          <w:iCs/>
          <w:i/>
        </w:rPr>
        <w:t xml:space="preserve">« Ce que nous appelons forme de vie correspond à cette ontologie du style, elle nomme le mode dans lequel une singularité témoigne de soi dans l’être et où l’être s’exprime dans le corps singulier  » §</w:t>
      </w:r>
      <w:r>
        <w:t xml:space="preserve"> </w:t>
      </w:r>
      <w:r>
        <w:t xml:space="preserve">3**</w:t>
      </w:r>
    </w:p>
    <w:p>
      <w:pPr>
        <w:pStyle w:val="BodyText"/>
      </w:pPr>
      <w:r>
        <w:t xml:space="preserve">Jedrzejewski, F. (2020). Formes de vie des objets mathématiques.</w:t>
      </w:r>
      <w:r>
        <w:t xml:space="preserve"> </w:t>
      </w:r>
      <w:r>
        <w:rPr>
          <w:iCs/>
          <w:i/>
        </w:rPr>
        <w:t xml:space="preserve">Rue Descartes</w:t>
      </w:r>
      <w:r>
        <w:t xml:space="preserve">, 97, 158-173.</w:t>
      </w:r>
      <w:r>
        <w:t xml:space="preserve"> </w:t>
      </w:r>
      <w:hyperlink r:id="rId535">
        <w:r>
          <w:rPr>
            <w:rStyle w:val="Hyperlink"/>
          </w:rPr>
          <w:t xml:space="preserve">https://doi.org/10.3917/rdes.097.0158</w:t>
        </w:r>
      </w:hyperlink>
    </w:p>
    <w:bookmarkEnd w:id="536"/>
    <w:bookmarkStart w:id="537" w:name="la-chance-du-sens"/>
    <w:p>
      <w:pPr>
        <w:pStyle w:val="Heading4"/>
      </w:pPr>
      <w:r>
        <w:t xml:space="preserve">6.0.10.3 La chance du sens</w:t>
      </w:r>
    </w:p>
    <w:p>
      <w:pPr>
        <w:pStyle w:val="FirstParagraph"/>
      </w:pPr>
      <w:r>
        <w:t xml:space="preserve">“</w:t>
      </w:r>
      <w:r>
        <w:t xml:space="preserve">En effet, dans une situation très indéterminée,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on l’a vu plus haut - à prendre une décision complètement arbitraire, et il préférera toujours à cet arbitraire la soumission à un modèle, si faiblement motivé qu’il puisse apparaître.</w:t>
      </w:r>
      <w:r>
        <w:t xml:space="preserve">”</w:t>
      </w:r>
      <w:r>
        <w:t xml:space="preserve"> </w:t>
      </w:r>
      <w:r>
        <w:t xml:space="preserve">(Thom, 1975) p. 361</w:t>
      </w:r>
    </w:p>
    <w:bookmarkEnd w:id="537"/>
    <w:bookmarkStart w:id="538" w:name="limite-de-lapproche"/>
    <w:p>
      <w:pPr>
        <w:pStyle w:val="Heading4"/>
      </w:pPr>
      <w:r>
        <w:t xml:space="preserve">6.0.10.4 Limite de l’approche</w:t>
      </w:r>
    </w:p>
    <w:p>
      <w:pPr>
        <w:pStyle w:val="FirstParagraph"/>
      </w:pPr>
      <w:r>
        <w:t xml:space="preserve">“We can summarize the limitations facing DE with the following three points:</w:t>
      </w:r>
    </w:p>
    <w:p>
      <w:pPr>
        <w:pStyle w:val="BodyText"/>
      </w:pPr>
      <w:r>
        <w:t xml:space="preserve">• The inability to add an already existing system to the DE unless it is designed to work in its digital environment.</w:t>
      </w:r>
    </w:p>
    <w:p>
      <w:pPr>
        <w:pStyle w:val="BodyText"/>
      </w:pPr>
      <w:r>
        <w:t xml:space="preserve">• The lack of communication interface to allow for interactions between different DEs.</w:t>
      </w:r>
    </w:p>
    <w:p>
      <w:pPr>
        <w:pStyle w:val="BodyText"/>
      </w:pPr>
      <w:r>
        <w:t xml:space="preserve">• There is no methodology to organize the resources produced by different systems in the DE.” p. 15</w:t>
      </w:r>
    </w:p>
    <w:p>
      <w:pPr>
        <w:pStyle w:val="BodyText"/>
      </w:pPr>
      <w:r>
        <w:t xml:space="preserve">Saleh, M., 2018. Digital ecosystem : towards a system of information systems (phdthesis). Université de Technologie de Compiègne.</w:t>
      </w:r>
    </w:p>
    <w:bookmarkEnd w:id="538"/>
    <w:bookmarkEnd w:id="539"/>
    <w:bookmarkEnd w:id="540"/>
    <w:bookmarkStart w:id="547" w:name="sec-problemesErgo"/>
    <w:p>
      <w:pPr>
        <w:pStyle w:val="Heading1"/>
      </w:pPr>
      <w:r>
        <w:t xml:space="preserve">7. Problématiques ergonomiques</w:t>
      </w:r>
    </w:p>
    <w:bookmarkStart w:id="541" w:name="comment-explorer-le-corpus-de-lautre"/>
    <w:p>
      <w:pPr>
        <w:pStyle w:val="Heading3"/>
      </w:pPr>
      <w:r>
        <w:t xml:space="preserve">7.0.1 Comment explorer le corpus de l’autre ?</w:t>
      </w:r>
    </w:p>
    <w:p>
      <w:pPr>
        <w:pStyle w:val="FirstParagraph"/>
      </w:pPr>
      <w:r>
        <w:t xml:space="preserve">Problématique fondamentale des ontologies</w:t>
      </w:r>
    </w:p>
    <w:p>
      <w:pPr>
        <w:pStyle w:val="BodyText"/>
      </w:pPr>
      <w:r>
        <w:t xml:space="preserve">Le cas IEML</w:t>
      </w:r>
    </w:p>
    <w:bookmarkEnd w:id="541"/>
    <w:bookmarkStart w:id="542" w:name="mathématisation-des-sciences-humaines"/>
    <w:p>
      <w:pPr>
        <w:pStyle w:val="Heading3"/>
      </w:pPr>
      <w:r>
        <w:t xml:space="preserve">7.0.2 Mathématisation des sciences humaines</w:t>
      </w:r>
    </w:p>
    <w:p>
      <w:pPr>
        <w:pStyle w:val="FirstParagraph"/>
      </w:pPr>
      <w:r>
        <w:t xml:space="preserve">« De nombreuses traditions philosophiques continentales reposent en effet sur une disjonction de la connaissance techno-scientifique et de la pensée du sens de l’être. Comme l’affirmait Heidegger: die Wissenschaft denkt nicht. Ces traditions restent en grande partie dominées par une interprétation péjorative de la nature instrumentale et pragmatiste de la science. Elles lui dénie tout sens et toute valeur intrinsèques. Ce faisant, elles l’excluent de toute téléologie émancipatrice. Par contrecoup, les disciplines interprétatives se retrouvent investies de la responsabilité historique de fabriquer du sens et d’en conférer à ce qui n’en possède pas de soi-même au moyen d’une démiurgie herméneutique qui inverse l’ordre des valeurs. Mais, rejetant la science, donc la maîtrise, elles ne possèdent plus dès lors pour ce faire que le véhicule magique de la narrativité. Elles ne peuvent plus qu’identifier l’évolution historique à ce que Jean François Lyotard a appelé des</w:t>
      </w:r>
      <w:r>
        <w:t xml:space="preserve"> </w:t>
      </w:r>
      <w:r>
        <w:t xml:space="preserve">“</w:t>
      </w:r>
      <w:r>
        <w:t xml:space="preserve">grands récits</w:t>
      </w:r>
      <w:r>
        <w:t xml:space="preserve">”</w:t>
      </w:r>
      <w:r>
        <w:t xml:space="preserve"> </w:t>
      </w:r>
      <w:r>
        <w:t xml:space="preserve">téléologiques d’émancipation et de libération. Elles aliènent les consciences dans l’hétéronomie des mythes de l’espérance. Le siècle a montré quel est le prix inéluctable de cette manipulation de l’imaginaire (du principe de plaisir politique) : la terreur.» (Petitot, 1998) p. 16</w:t>
      </w:r>
    </w:p>
    <w:p>
      <w:pPr>
        <w:pStyle w:val="BodyText"/>
      </w:pPr>
      <w:r>
        <w:t xml:space="preserve">Prétopologie</w:t>
      </w:r>
    </w:p>
    <w:p>
      <w:pPr>
        <w:pStyle w:val="BodyText"/>
      </w:pPr>
      <w:r>
        <w:t xml:space="preserve">« Definition 2.14. ∀A ∈ ℘(U), we call the rim of A, denoted b(A), the function: b(A) = {x ∈ A | ∀B ∈ B(x), B ∩ AC , ú} Definition 2.15. ∀A ∈ ℘(U), we call the girdle of A, denoted o(A), the function: o(A) = {x ∈ AC | ∀B ∈ B(x), B ∩ A , ú} Definition 2.16. ∀A ∈ ℘(U), we call the frontier of A, denoted f (A), the function: f (A) = {x ∈ U | ∀B ∈ B(x), B ∩ A , ú ∧ B ∩ AC , ú} Definition 2.17. ∀A ∈ ℘(U), we call the derivative of A, denoted d(A), the function: d(A) = {x ∈ U | ∀B ∈ B(x), (B − {x}) ∩ A , ú} Definition 2.18. ∀A ∈ ℘(U), we call the coherence of A, denoted c(A), the function: c(A) = {x ∈ A | ∀B ∈ B(x), (B − {x}) ∩ A , ú} Definition 2.19. ∀A ∈ ℘(U), we call the exterior of A, denoted e(A), the function: e(A) = {x ∈ U | ∃B ∈ B(x), B ⊂ AC } » (Laborde, 2019, p. 25)</w:t>
      </w:r>
    </w:p>
    <w:bookmarkEnd w:id="542"/>
    <w:bookmarkStart w:id="546" w:name="X13a0c506bbc23bb06e6432edddc050bd3223ddb"/>
    <w:p>
      <w:pPr>
        <w:pStyle w:val="Heading3"/>
      </w:pPr>
      <w:r>
        <w:t xml:space="preserve">7.0.3 Comment rendre convivial la compréhension des milieux complexes</w:t>
      </w:r>
    </w:p>
    <w:p>
      <w:pPr>
        <w:pStyle w:val="FirstParagraph"/>
      </w:pPr>
      <w:r>
        <w:t xml:space="preserve">Comparaison entre le cycle de la dataviz et La mutiplication des cycles du papillon : œuf, larve, chrysalide, imago…</w:t>
      </w:r>
    </w:p>
    <w:p>
      <w:pPr>
        <w:pStyle w:val="CaptionedFigure"/>
      </w:pPr>
      <w:r>
        <w:drawing>
          <wp:inline>
            <wp:extent cx="5334000" cy="1969187"/>
            <wp:effectExtent b="0" l="0" r="0" t="0"/>
            <wp:docPr descr=" Illustration 22: Ecosystème de la visualisation de données (Card &amp; al. 1999)" title="" id="544" name="Picture"/>
            <a:graphic>
              <a:graphicData uri="http://schemas.openxmlformats.org/drawingml/2006/picture">
                <pic:pic>
                  <pic:nvPicPr>
                    <pic:cNvPr descr="media/100000010000049D000001B4653BE7F72C3CCD80.png" id="545" name="Picture"/>
                    <pic:cNvPicPr>
                      <a:picLocks noChangeArrowheads="1" noChangeAspect="1"/>
                    </pic:cNvPicPr>
                  </pic:nvPicPr>
                  <pic:blipFill>
                    <a:blip r:embed="rId543"/>
                    <a:stretch>
                      <a:fillRect/>
                    </a:stretch>
                  </pic:blipFill>
                  <pic:spPr bwMode="auto">
                    <a:xfrm>
                      <a:off x="0" y="0"/>
                      <a:ext cx="5334000" cy="1969187"/>
                    </a:xfrm>
                    <a:prstGeom prst="rect">
                      <a:avLst/>
                    </a:prstGeom>
                    <a:noFill/>
                    <a:ln w="9525">
                      <a:noFill/>
                      <a:headEnd/>
                      <a:tailEnd/>
                    </a:ln>
                  </pic:spPr>
                </pic:pic>
              </a:graphicData>
            </a:graphic>
          </wp:inline>
        </w:drawing>
      </w:r>
    </w:p>
    <w:p>
      <w:pPr>
        <w:pStyle w:val="ImageCaption"/>
      </w:pPr>
      <w:r>
        <w:br/>
      </w:r>
      <w:r>
        <w:t xml:space="preserve">Illustration 22: Ecosystème de la visualisation de données (Card &amp; al. 1999)</w:t>
      </w:r>
    </w:p>
    <w:p>
      <w:pPr>
        <w:pStyle w:val="BodyText"/>
      </w:pPr>
      <w:r>
        <w:t xml:space="preserve">« Cette existence d’une polarité perceptive joue un rôle prépondérant dans la ségrégation des unités perceptives […]. Le sujet perçoit de manière à s’orienter par rapport au monde […]. Percevoir c’est […] organiser, maintenir ou inventer une organisation. Il ne suffit pas de dire que la perception consiste à saisir des touts organisés ; en fait, elle est l’acte qui organise des touts ; elle introduit l’organisation en reliant analogiquement les formes contenues dans le sujet aux signaux reçus : percevoir est retenir la plus grande quantité de signaux possible dans les formes les plus ancrées dans le sujet ; ce n’est pas seulement saisir des formes ou enregistrer des données multiples juxtaposées ou successives Percevoir consiste à élever l’information du système formé par le sujet et le champ dans lequel il s’oriente. […] C’est en s’orientant dans (une) situation que le sujet peut ramener à l’unité les aspects de l’hétérogénéité qualitative et intensive, opérer la synthèse du divers homogène. (Simondon Gilbert (1989), L’individuation psychique et collective, Paris, Aubier., p. 89-90) » cité par (Quéré, 2020, paragr. 66)</w:t>
      </w:r>
    </w:p>
    <w:bookmarkEnd w:id="546"/>
    <w:bookmarkEnd w:id="547"/>
    <w:bookmarkStart w:id="556" w:name="sec-etatArtTI"/>
    <w:p>
      <w:pPr>
        <w:pStyle w:val="Heading1"/>
      </w:pPr>
      <w:r>
        <w:t xml:space="preserve">8. Etat de l’art</w:t>
      </w:r>
    </w:p>
    <w:bookmarkStart w:id="548" w:name="science-de-la-communication-des-sciences"/>
    <w:p>
      <w:pPr>
        <w:pStyle w:val="Heading3"/>
      </w:pPr>
      <w:r>
        <w:t xml:space="preserve">8.0.1 Science de la communication des sciences</w:t>
      </w:r>
    </w:p>
    <w:p>
      <w:pPr>
        <w:pStyle w:val="FirstParagraph"/>
      </w:pPr>
      <w:r>
        <w:t xml:space="preserve">« Financés par la commission européenne, plusieurs projets de « recherche appliquée » sur la communication scientifique ont été lancés récemment en Europe (Quest, Rethink, Tresca, Newsera, Parcos, Concise…). En France, des programmes innovants se développent, notamment en réponse à l’appel « Sciences avec et pour la société » de l’Union Européenne, tel le projet « Sciences avec et pour une société en transitions » (SUNSET) de l’université de Bordeaux. On trouve également un certain nombre de chercheuses et de chercheurs travaillant à identifier les ressorts de la confiance, de l’autorité et de l’argumentation scientifique à l’Institut Jean Nicod, laboratoire interdisciplinaire de renommée internationale adossé à l’École des hautes études en sciences sociales (EHESS) et à l’École Normale Supérieure. » (Vellozzo, 2022)</w:t>
      </w:r>
    </w:p>
    <w:p>
      <w:pPr>
        <w:pStyle w:val="BodyText"/>
      </w:pPr>
      <w:r>
        <w:t xml:space="preserve">Il conviendrait de mettre en avant des serious game ayant pour objection des discussions créatives entre les différents acteurs de la sociétés.</w:t>
      </w:r>
    </w:p>
    <w:bookmarkEnd w:id="548"/>
    <w:bookmarkStart w:id="550" w:name="biomimétisme"/>
    <w:p>
      <w:pPr>
        <w:pStyle w:val="Heading3"/>
      </w:pPr>
      <w:r>
        <w:t xml:space="preserve">8.0.2 Biomimétisme</w:t>
      </w:r>
    </w:p>
    <w:p>
      <w:pPr>
        <w:pStyle w:val="FirstParagraph"/>
      </w:pPr>
      <w:r>
        <w:t xml:space="preserve">Tout acte d’imitation repose sur un prélèvement : l’identification d’une caractéristique estimée pertinente dans un organisme ou un système vivant, perçu ou modélisé en vue de son intégration dans des objets ou dans des techniques du corps. Même si ces opérations isolent des fonctions biologiques pour les reproduire dans des objets, cette ponction s’effectue le plus souvent en prenant en compte le milieu au sein duquel vit un organisme.</w:t>
      </w:r>
    </w:p>
    <w:p>
      <w:pPr>
        <w:pStyle w:val="BodyText"/>
      </w:pPr>
      <w:r>
        <w:t xml:space="preserve">Provost, F., Kamili, L., Pitrou, P., 2020. Enquêter sur l’imitation du vivant. Techniques Culture n° 73, 208–221.</w:t>
      </w:r>
      <w:r>
        <w:t xml:space="preserve"> </w:t>
      </w:r>
      <w:hyperlink r:id="rId549">
        <w:r>
          <w:rPr>
            <w:rStyle w:val="Hyperlink"/>
          </w:rPr>
          <w:t xml:space="preserve">https://www.cairn.info/revue-techniques-et-culture-2020-1-page-208.htm</w:t>
        </w:r>
      </w:hyperlink>
    </w:p>
    <w:bookmarkEnd w:id="550"/>
    <w:bookmarkStart w:id="552" w:name="X906133b1d1cd316ef778d7996f65550c44c7d02"/>
    <w:p>
      <w:pPr>
        <w:pStyle w:val="Heading3"/>
      </w:pPr>
      <w:r>
        <w:t xml:space="preserve">8.0.3 Ingénierie des connaissances dans les milieux numériques</w:t>
      </w:r>
    </w:p>
    <w:p>
      <w:pPr>
        <w:pStyle w:val="FirstParagraph"/>
      </w:pPr>
      <w:r>
        <w:t xml:space="preserve">En conclusion, il s’agit d’apprendre à lire ces mégadonnées selon de nouvelles pratiques à dégager : de même que Ben Schneidermann avait popularisé dans l’univers des interfaces numériques le slogan « global and zoom » (Bederman and Schneidermann, 2003), un axe d’étude des mégadonnées est de construire une composition lectoriale du global et du local : la singularité herméneutique abordée au sein de la globalité calculée et restituée dans des visualisations graphiques.</w:t>
      </w:r>
    </w:p>
    <w:p>
      <w:pPr>
        <w:pStyle w:val="BodyText"/>
      </w:pPr>
      <w:r>
        <w:t xml:space="preserve">Bachimont, B., 2017. Le numérique comme milieu : enjeux épistémologiques et phénoménologiques. : Principes pour une science des données. Interfaces numériques 4, 402–402.</w:t>
      </w:r>
      <w:r>
        <w:t xml:space="preserve"> </w:t>
      </w:r>
      <w:hyperlink r:id="rId551">
        <w:r>
          <w:rPr>
            <w:rStyle w:val="Hyperlink"/>
          </w:rPr>
          <w:t xml:space="preserve">https://doi.org/10.25965/interfaces-numeriques.386</w:t>
        </w:r>
      </w:hyperlink>
    </w:p>
    <w:bookmarkEnd w:id="552"/>
    <w:bookmarkStart w:id="553" w:name="the-digital-methods-initiative"/>
    <w:p>
      <w:pPr>
        <w:pStyle w:val="Heading3"/>
      </w:pPr>
      <w:r>
        <w:t xml:space="preserve">8.0.4 The Digital Methods Initiative</w:t>
      </w:r>
    </w:p>
    <w:p>
      <w:pPr>
        <w:pStyle w:val="FirstParagraph"/>
      </w:pPr>
      <w:r>
        <w:t xml:space="preserve">https://wiki.digitalmethods.net/Dmi/DmiAbout</w:t>
      </w:r>
    </w:p>
    <w:bookmarkEnd w:id="553"/>
    <w:bookmarkStart w:id="555" w:name="problématiques"/>
    <w:p>
      <w:pPr>
        <w:pStyle w:val="Heading2"/>
      </w:pPr>
      <w:r>
        <w:t xml:space="preserve">8.1 Problématiques</w:t>
      </w:r>
    </w:p>
    <w:bookmarkStart w:id="554" w:name="la-programmation-comme-art-trompeur"/>
    <w:p>
      <w:pPr>
        <w:pStyle w:val="Heading3"/>
      </w:pPr>
      <w:r>
        <w:t xml:space="preserve">8.1.1 La programmation comme art trompeur</w:t>
      </w:r>
    </w:p>
    <w:p>
      <w:pPr>
        <w:pStyle w:val="FirstParagraph"/>
      </w:pPr>
      <w:r>
        <w:t xml:space="preserve">Il y a déjà trente ans, Pierre Lévy écrivait un petit livre sur la programmation comme un des beaux arts</w:t>
      </w:r>
    </w:p>
    <w:bookmarkEnd w:id="554"/>
    <w:bookmarkEnd w:id="555"/>
    <w:bookmarkEnd w:id="556"/>
    <w:bookmarkStart w:id="583" w:name="sec-realisations"/>
    <w:p>
      <w:pPr>
        <w:pStyle w:val="Heading1"/>
      </w:pPr>
      <w:r>
        <w:t xml:space="preserve">9. Réalisations</w:t>
      </w:r>
    </w:p>
    <w:p>
      <w:pPr>
        <w:pStyle w:val="FirstParagraph"/>
      </w:pPr>
      <w:r>
        <w:t xml:space="preserve">Ce dernier module est très pratique pour importer des données à partir de tableurs. Par exemple, nous avons importer les données de notre CV à partir de tableurs</w:t>
      </w:r>
      <w:r>
        <w:rPr>
          <w:rStyle w:val="FootnoteReference"/>
        </w:rPr>
        <w:footnoteReference w:id="557"/>
      </w:r>
      <w:r>
        <w:t xml:space="preserve"> </w:t>
      </w:r>
      <w:r>
        <w:t xml:space="preserve">ou automatiquement par exemple avec l’outil que nous avons développée pour extraire les informations des dépôts GitHub</w:t>
      </w:r>
      <w:r>
        <w:rPr>
          <w:rStyle w:val="FootnoteReference"/>
        </w:rPr>
        <w:footnoteReference w:id="558"/>
      </w:r>
      <w:r>
        <w:t xml:space="preserve"> </w:t>
      </w:r>
      <w:r>
        <w:t xml:space="preserve">d’un compte :</w:t>
      </w:r>
    </w:p>
    <w:tbl>
      <w:tblPr>
        <w:tblStyle w:val="Table"/>
        <w:tblW w:type="pct" w:w="5000"/>
        <w:tblLook w:firstRow="0" w:lastRow="0" w:firstColumn="0" w:lastColumn="0" w:noHBand="0" w:noVBand="0" w:val="0000"/>
        <w:jc w:val="start"/>
        <w:tblLayout w:type="fixed"/>
      </w:tblPr>
      <w:tblGrid>
        <w:gridCol w:w="7920"/>
      </w:tblGrid>
      <w:tr>
        <w:tc>
          <w:tcPr/>
          <w:bookmarkStart w:id="562" w:name="fig-outilsExtractGithub"/>
          <w:p>
            <w:pPr>
              <w:pStyle w:val="Compact"/>
              <w:jc w:val="center"/>
            </w:pPr>
            <w:r>
              <w:drawing>
                <wp:inline>
                  <wp:extent cx="5334000" cy="3367636"/>
                  <wp:effectExtent b="0" l="0" r="0" t="0"/>
                  <wp:docPr descr="" title="" id="560" name="Picture"/>
                  <a:graphic>
                    <a:graphicData uri="http://schemas.openxmlformats.org/drawingml/2006/picture">
                      <pic:pic>
                        <pic:nvPicPr>
                          <pic:cNvPr descr="media/10000001000005FA000003C6E505BCF012940265.png" id="561" name="Picture"/>
                          <pic:cNvPicPr>
                            <a:picLocks noChangeArrowheads="1" noChangeAspect="1"/>
                          </pic:cNvPicPr>
                        </pic:nvPicPr>
                        <pic:blipFill>
                          <a:blip r:embed="rId559"/>
                          <a:stretch>
                            <a:fillRect/>
                          </a:stretch>
                        </pic:blipFill>
                        <pic:spPr bwMode="auto">
                          <a:xfrm>
                            <a:off x="0" y="0"/>
                            <a:ext cx="5334000" cy="33676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Outil pour l’extraction des données d’un compte GitHub</w:t>
            </w:r>
          </w:p>
          <w:bookmarkEnd w:id="562"/>
        </w:tc>
      </w:tr>
    </w:tbl>
    <w:bookmarkStart w:id="582" w:name="Xad6757c060723a76df72e15711643016a1daaea"/>
    <w:p>
      <w:pPr>
        <w:pStyle w:val="Heading2"/>
      </w:pPr>
      <w:r>
        <w:t xml:space="preserve">9.1 Modélisation d’une pulsation existentielle</w:t>
      </w:r>
    </w:p>
    <w:bookmarkStart w:id="563" w:name="les-principes-du-modèle"/>
    <w:p>
      <w:pPr>
        <w:pStyle w:val="Heading3"/>
      </w:pPr>
      <w:r>
        <w:t xml:space="preserve">9.1.1 Les principes du modèle</w:t>
      </w:r>
    </w:p>
    <w:bookmarkEnd w:id="563"/>
    <w:bookmarkStart w:id="564" w:name="généricité-du-modèle"/>
    <w:p>
      <w:pPr>
        <w:pStyle w:val="Heading3"/>
      </w:pPr>
      <w:r>
        <w:t xml:space="preserve">9.1.2 Généricité du modèle</w:t>
      </w:r>
    </w:p>
    <w:p>
      <w:pPr>
        <w:pStyle w:val="FirstParagraph"/>
      </w:pPr>
      <w:r>
        <w:t xml:space="preserve">Reprendre les différents exemple des principes élémentaire de la pensée de P. Lévy et les traduire sous frme de diagrammes</w:t>
      </w:r>
    </w:p>
    <w:bookmarkEnd w:id="564"/>
    <w:bookmarkStart w:id="565" w:name="X4adee8cac38d2822a57c561b84e2c752658b4e8"/>
    <w:p>
      <w:pPr>
        <w:pStyle w:val="Heading3"/>
      </w:pPr>
      <w:r>
        <w:t xml:space="preserve">9.1.3 Rebondir dans les couches de l’individuation : heterogenetic flow</w:t>
      </w:r>
    </w:p>
    <w:p>
      <w:pPr>
        <w:pStyle w:val="FirstParagraph"/>
      </w:pPr>
      <w:r>
        <w:t xml:space="preserve">“</w:t>
      </w:r>
      <w:r>
        <w:t xml:space="preserve">While the dynamics of separation of the two planes are largely unknown and typical to each semiotic context, we will speculate on the possibility of a spectral differentiation of the planes, in which the eigenvectors of the assemblage will indicate the independent directions of subspaces E/C. This construction allows the emergence of the semiotic function from the dynamic evolution of the heterogenetic flow without the need of any stabilisation, as opposed to the classical case of structural morphodynamics.</w:t>
      </w:r>
      <w:r>
        <w:t xml:space="preserve">”</w:t>
      </w:r>
      <w:r>
        <w:t xml:space="preserve"> </w:t>
      </w:r>
      <w:r>
        <w:t xml:space="preserve">p. 3</w:t>
      </w:r>
    </w:p>
    <w:p>
      <w:pPr>
        <w:pStyle w:val="BodyText"/>
      </w:pPr>
      <w:r>
        <w:t xml:space="preserve">« To allow the construction of assemblages, two temporal scales or axes are present. The first is the axis of the actualisation of differential constraints. It is the axis of Kronos, which is common to mathematical physics. The second is the axis that Deleuze calls Aion, on which it takes the place the recombination of differential constraints in new assemblages. » p. 6</w:t>
      </w:r>
    </w:p>
    <w:p>
      <w:pPr>
        <w:pStyle w:val="BodyText"/>
      </w:pPr>
      <w:r>
        <w:t xml:space="preserve">Sarti, A., Citti, G., Piotrowski, D., 2019. Differential heterogenesis and the emergence of semiotic function. Semiotica.</w:t>
      </w:r>
    </w:p>
    <w:bookmarkEnd w:id="565"/>
    <w:bookmarkStart w:id="576" w:name="sec-pratiquesOmk"/>
    <w:p>
      <w:pPr>
        <w:pStyle w:val="Heading3"/>
      </w:pPr>
      <w:r>
        <w:t xml:space="preserve">9.1.4 Mise en pratique d’Omeka S</w:t>
      </w:r>
    </w:p>
    <w:p>
      <w:pPr>
        <w:pStyle w:val="FirstParagraph"/>
      </w:pPr>
      <w:r>
        <w:t xml:space="preserve">Avant 2016, j’utilisais un modèle de base de données et une trousse à outils php développée spécifiquement pour les besoins de mes recherches (Szoniecky, 2017, p. 141). Cette architecture technique m’a permis de développé plusieurs projets d’humanité numérique que nous avons présenté plus haut (</w:t>
      </w:r>
      <w:hyperlink w:anchor="anchor-59">
        <w:r>
          <w:rPr>
            <w:rStyle w:val="Hyperlink"/>
          </w:rPr>
          <w:t xml:space="preserve">1.4.4.2Projet de recherche en humanités numériques</w:t>
        </w:r>
      </w:hyperlink>
      <w:r>
        <w:t xml:space="preserve"> </w:t>
      </w:r>
      <w:r>
        <w:t xml:space="preserve">p. </w:t>
      </w:r>
      <w:hyperlink w:anchor="anchor-59">
        <w:r>
          <w:rPr>
            <w:rStyle w:val="Hyperlink"/>
          </w:rPr>
          <w:t xml:space="preserve">50</w:t>
        </w:r>
      </w:hyperlink>
      <w:r>
        <w:t xml:space="preserve">). La découverte de la plasticité d’Omeka S en terme de modélisation des espaces sémantiques et documentaires m’a fait abandonné mes solutions spécifiques pour utilisé des solutions plus génériques et surtout disposant d’une communauté de concepteur et de développeurs. Ce chapitre explique comment j’ai mis en pratique Omeka S pour réaliser mes projets d’humanités numériques.</w:t>
      </w:r>
    </w:p>
    <w:bookmarkStart w:id="566" w:name="création-dun-corpus-dans-omeka-s"/>
    <w:p>
      <w:pPr>
        <w:pStyle w:val="Heading4"/>
      </w:pPr>
      <w:r>
        <w:t xml:space="preserve">9.1.4.1 Création d’un corpus dans Omeka S</w:t>
      </w:r>
    </w:p>
    <w:p>
      <w:pPr>
        <w:pStyle w:val="FirstParagraph"/>
      </w:pPr>
      <w:r>
        <w:t xml:space="preserve">- Choix des vocabulaires</w:t>
      </w:r>
    </w:p>
    <w:p>
      <w:pPr>
        <w:pStyle w:val="BodyText"/>
      </w:pPr>
      <w:r>
        <w:t xml:space="preserve">- Modélisation des ressources templates</w:t>
      </w:r>
    </w:p>
    <w:p>
      <w:pPr>
        <w:pStyle w:val="BodyText"/>
      </w:pPr>
      <w:r>
        <w:t xml:space="preserve">- Définition des relations entre objets</w:t>
      </w:r>
    </w:p>
    <w:p>
      <w:pPr>
        <w:pStyle w:val="BodyText"/>
      </w:pPr>
      <w:r>
        <w:t xml:space="preserve">- Importation des données</w:t>
      </w:r>
    </w:p>
    <w:bookmarkEnd w:id="566"/>
    <w:bookmarkStart w:id="575" w:name="développement-des-modules"/>
    <w:p>
      <w:pPr>
        <w:pStyle w:val="Heading4"/>
      </w:pPr>
      <w:r>
        <w:t xml:space="preserve">9.1.4.2 Développement des modules</w:t>
      </w:r>
    </w:p>
    <w:p>
      <w:pPr>
        <w:pStyle w:val="FirstParagraph"/>
      </w:pPr>
      <w:r>
        <w:t xml:space="preserve">Dans le cadre de ces projets , nous avons développé plusieurs modules pour ajouter des fonctionnalités supplémentaire à Omeka S et facilité de travail de cartographie :</w:t>
      </w:r>
    </w:p>
    <w:bookmarkStart w:id="567" w:name="sec-importDiigo"/>
    <w:p>
      <w:pPr>
        <w:pStyle w:val="Heading5"/>
      </w:pPr>
      <w:r>
        <w:t xml:space="preserve">Importation des données de diigo</w:t>
      </w:r>
    </w:p>
    <w:bookmarkEnd w:id="567"/>
    <w:bookmarkStart w:id="568" w:name="importation-des-données-de-zotero"/>
    <w:p>
      <w:pPr>
        <w:pStyle w:val="Heading5"/>
      </w:pPr>
      <w:r>
        <w:t xml:space="preserve">Importation des données de zotero</w:t>
      </w:r>
    </w:p>
    <w:p>
      <w:pPr>
        <w:numPr>
          <w:ilvl w:val="0"/>
          <w:numId w:val="1040"/>
        </w:numPr>
        <w:pStyle w:val="Compact"/>
      </w:pPr>
      <w:r>
        <w:t xml:space="preserve">Limite du plugin</w:t>
      </w:r>
    </w:p>
    <w:p>
      <w:pPr>
        <w:pStyle w:val="FirstParagraph"/>
      </w:pPr>
      <w:r>
        <w:t xml:space="preserve">les actants (Callon 2013) ne sont pas pris en compte dans leur singularité mais uniquement comme des chaines de caractères.</w:t>
      </w:r>
    </w:p>
    <w:p>
      <w:pPr>
        <w:pStyle w:val="BodyText"/>
      </w:pPr>
      <w:r>
        <w:t xml:space="preserve">Les tags sont eux aussi uniquement considérés comme des chaines de caractères et ne sont pas différenciés par leur auteur qui est soit le propriétaire du zotero, soit un tag automatique (z:AutomaticTag).</w:t>
      </w:r>
    </w:p>
    <w:p>
      <w:pPr>
        <w:numPr>
          <w:ilvl w:val="0"/>
          <w:numId w:val="1041"/>
        </w:numPr>
        <w:pStyle w:val="Compact"/>
      </w:pPr>
      <w:r>
        <w:t xml:space="preserve">Développements spécifiques</w:t>
      </w:r>
    </w:p>
    <w:p>
      <w:pPr>
        <w:pStyle w:val="FirstParagraph"/>
      </w:pPr>
      <w:r>
        <w:t xml:space="preserve">importation par création ou mise à jour</w:t>
      </w:r>
    </w:p>
    <w:p>
      <w:pPr>
        <w:pStyle w:val="BodyText"/>
      </w:pPr>
      <w:r>
        <w:t xml:space="preserve">importation des actants comme des items .</w:t>
      </w:r>
    </w:p>
    <w:p>
      <w:pPr>
        <w:pStyle w:val="BodyText"/>
      </w:pPr>
      <w:r>
        <w:t xml:space="preserve">Importation des tags comme des concept skos et les rapports entre tags, ressource et auteur comme des annotations</w:t>
      </w:r>
    </w:p>
    <w:bookmarkEnd w:id="568"/>
    <w:bookmarkStart w:id="569" w:name="nouvelle-version-du-générateur-de-texte"/>
    <w:p>
      <w:pPr>
        <w:pStyle w:val="Heading5"/>
      </w:pPr>
      <w:r>
        <w:t xml:space="preserve">Nouvelle version du générateur de texte</w:t>
      </w:r>
    </w:p>
    <w:bookmarkEnd w:id="569"/>
    <w:bookmarkStart w:id="574" w:name="sec-cartoAffect"/>
    <w:p>
      <w:pPr>
        <w:pStyle w:val="Heading5"/>
      </w:pPr>
      <w:r>
        <w:t xml:space="preserve">CartoAffect</w:t>
      </w:r>
    </w:p>
    <w:bookmarkStart w:id="570" w:name="larchitecture-des-données"/>
    <w:p>
      <w:pPr>
        <w:pStyle w:val="Heading6"/>
      </w:pPr>
      <w:r>
        <w:t xml:space="preserve">L’architecture des données</w:t>
      </w:r>
    </w:p>
    <w:bookmarkEnd w:id="570"/>
    <w:bookmarkStart w:id="573" w:name="les-modules-javascript"/>
    <w:p>
      <w:pPr>
        <w:pStyle w:val="Heading6"/>
      </w:pPr>
      <w:r>
        <w:t xml:space="preserve">Les modules JavaScript</w:t>
      </w:r>
    </w:p>
    <w:bookmarkStart w:id="571" w:name="sec-jdcPhysiques"/>
    <w:p>
      <w:pPr>
        <w:pStyle w:val="Heading7"/>
      </w:pPr>
      <w:r>
        <w:t xml:space="preserve">JDC Physiques</w:t>
      </w:r>
    </w:p>
    <w:bookmarkEnd w:id="571"/>
    <w:bookmarkStart w:id="572" w:name="jdc"/>
    <w:p>
      <w:pPr>
        <w:pStyle w:val="Heading7"/>
      </w:pPr>
      <w:r>
        <w:t xml:space="preserve">JDC</w:t>
      </w:r>
    </w:p>
    <w:bookmarkEnd w:id="572"/>
    <w:bookmarkEnd w:id="573"/>
    <w:bookmarkEnd w:id="574"/>
    <w:bookmarkEnd w:id="575"/>
    <w:bookmarkEnd w:id="576"/>
    <w:bookmarkStart w:id="578" w:name="sec-chaoticumSeminario"/>
    <w:p>
      <w:pPr>
        <w:pStyle w:val="Heading3"/>
      </w:pPr>
      <w:r>
        <w:t xml:space="preserve">9.1.5 Chaoticum Seminario</w:t>
      </w:r>
    </w:p>
    <w:p>
      <w:pPr>
        <w:pStyle w:val="FirstParagraph"/>
      </w:pPr>
      <w:hyperlink r:id="rId577">
        <w:r>
          <w:rPr>
            <w:rStyle w:val="Hyperlink"/>
          </w:rPr>
          <w:t xml:space="preserve">https://github.com/samszo/ChaoticumSeminario</w:t>
        </w:r>
      </w:hyperlink>
    </w:p>
    <w:bookmarkEnd w:id="578"/>
    <w:bookmarkStart w:id="581" w:name="github-extractor"/>
    <w:p>
      <w:pPr>
        <w:pStyle w:val="Heading3"/>
      </w:pPr>
      <w:r>
        <w:t xml:space="preserve">9.1.6 GitHub Extractor</w:t>
      </w:r>
    </w:p>
    <w:p>
      <w:pPr>
        <w:pStyle w:val="FirstParagraph"/>
      </w:pPr>
      <w:r>
        <w:t xml:space="preserve">Développer spécifiquement pour ce travail d’HDR afin d’extraire les données d’un compte GitHub et les importer dans Omeka S, cet outil cumule les besoins de deux outils existant : githubUserMeta</w:t>
      </w:r>
      <w:r>
        <w:rPr>
          <w:rStyle w:val="FootnoteReference"/>
        </w:rPr>
        <w:footnoteReference w:id="579"/>
      </w:r>
      <w:r>
        <w:t xml:space="preserve"> </w:t>
      </w:r>
      <w:r>
        <w:t xml:space="preserve">et githubScraper</w:t>
      </w:r>
      <w:r>
        <w:rPr>
          <w:rStyle w:val="FootnoteReference"/>
        </w:rPr>
        <w:footnoteReference w:id="580"/>
      </w:r>
      <w:r>
        <w:t xml:space="preserve">.</w:t>
      </w:r>
    </w:p>
    <w:bookmarkEnd w:id="581"/>
    <w:bookmarkEnd w:id="582"/>
    <w:bookmarkEnd w:id="583"/>
    <w:bookmarkStart w:id="588" w:name="sec-analyserOntoEthique"/>
    <w:p>
      <w:pPr>
        <w:pStyle w:val="Heading1"/>
      </w:pPr>
      <w:r>
        <w:t xml:space="preserve">10. Analyser l’onto-éthique des objets connectés</w:t>
      </w:r>
    </w:p>
    <w:p>
      <w:pPr>
        <w:pStyle w:val="FirstParagraph"/>
      </w:pPr>
      <w:r>
        <w:t xml:space="preserve">l’enjeux des objets connextés et de la médecine est fondamental :</w:t>
      </w:r>
    </w:p>
    <w:p>
      <w:pPr>
        <w:pStyle w:val="BodyText"/>
      </w:pPr>
      <w:r>
        <w:t xml:space="preserve">« Cependant comparés à l’évaluation du médicament, des aspects et méthodologies nouvelles émergent : il s’agit d’analyser et d’évaluer l’écosystème global de l’objet connecté considéré, d’analyser des trajectoires de soins et non plus les seuls indicateurs de morbi-mortalité, de prendre en compte « l’usager » à la fois en tant que patient (qualité de vie, amélioration du vécu de la maladie, etc.) et en tant qu’« usager » (évaluation de « l’expérience patient »), d’utiliser des méthodologies dont les délais seraient compatibles avec la vitesse d’évolution très rapide des technologies, où les constantes de temps de la recherche clinique habituelle sont totalement dépassées ou, en tout cas, à questionner. Ces nouveaux moyens de « traitement » du sujet humain rendus possibles par l’essor du numérique, qui se veulent toujours plus innovants, convoquent ainsi la nécessité de recherches interdisciplinaire urgente. » § 3</w:t>
      </w:r>
    </w:p>
    <w:p>
      <w:pPr>
        <w:pStyle w:val="BodyText"/>
      </w:pPr>
      <w:r>
        <w:t xml:space="preserve">Lindenmeyer, C., &amp; d’Ortho, M.-P. (2019). L’introduction des objets connectés en médecine.</w:t>
      </w:r>
      <w:r>
        <w:t xml:space="preserve"> </w:t>
      </w:r>
      <w:r>
        <w:rPr>
          <w:iCs/>
          <w:i/>
        </w:rPr>
        <w:t xml:space="preserve">Hermes, La Revue</w:t>
      </w:r>
      <w:r>
        <w:t xml:space="preserve">,</w:t>
      </w:r>
      <w:r>
        <w:t xml:space="preserve"> </w:t>
      </w:r>
      <w:r>
        <w:rPr>
          <w:iCs/>
          <w:i/>
        </w:rPr>
        <w:t xml:space="preserve">n° 85</w:t>
      </w:r>
      <w:r>
        <w:t xml:space="preserve">(3), 41‑42.</w:t>
      </w:r>
    </w:p>
    <w:bookmarkStart w:id="584" w:name="Xa447c0efb9ff80c230542d1ad1f085c9c4925bf"/>
    <w:p>
      <w:pPr>
        <w:pStyle w:val="Heading3"/>
      </w:pPr>
      <w:r>
        <w:t xml:space="preserve">10.0.1 Concevoir un protocole d’observation participante</w:t>
      </w:r>
    </w:p>
    <w:p>
      <w:pPr>
        <w:pStyle w:val="FirstParagraph"/>
      </w:pPr>
      <w:r>
        <w:t xml:space="preserve">À la manière de l’observatoire des jardins</w:t>
      </w:r>
    </w:p>
    <w:bookmarkEnd w:id="584"/>
    <w:bookmarkStart w:id="585" w:name="X57045eaf9400e95be8c0b8bde4bfe7f3d28c109"/>
    <w:p>
      <w:pPr>
        <w:pStyle w:val="Heading3"/>
      </w:pPr>
      <w:r>
        <w:t xml:space="preserve">10.0.2 Déployer une plateforme d’intelligence collective</w:t>
      </w:r>
    </w:p>
    <w:p>
      <w:pPr>
        <w:pStyle w:val="FirstParagraph"/>
      </w:pPr>
      <w:r>
        <w:t xml:space="preserve">En relation avec le travail de recherche d’Amri</w:t>
      </w:r>
    </w:p>
    <w:bookmarkEnd w:id="585"/>
    <w:bookmarkStart w:id="586" w:name="préconiser-des-usages-éthiques"/>
    <w:p>
      <w:pPr>
        <w:pStyle w:val="Heading3"/>
      </w:pPr>
      <w:r>
        <w:t xml:space="preserve">10.0.3 Préconiser des usages éthiques</w:t>
      </w:r>
    </w:p>
    <w:p>
      <w:pPr>
        <w:pStyle w:val="FirstParagraph"/>
      </w:pPr>
      <w:r>
        <w:t xml:space="preserve">A partir des données collectées…</w:t>
      </w:r>
    </w:p>
    <w:p>
      <w:pPr>
        <w:pStyle w:val="BodyText"/>
      </w:pPr>
      <w:r>
        <w:t xml:space="preserve">Evaluer les impactes des politiques publics</w:t>
      </w:r>
    </w:p>
    <w:bookmarkEnd w:id="586"/>
    <w:bookmarkStart w:id="587" w:name="X32df4b3d5fa3679f2bfc0a2af90c59cb7df4eef"/>
    <w:p>
      <w:pPr>
        <w:pStyle w:val="Heading2"/>
      </w:pPr>
      <w:r>
        <w:t xml:space="preserve">10.1 Éditorialiser les récits scientifiques / fictionnelles</w:t>
      </w:r>
    </w:p>
    <w:bookmarkEnd w:id="587"/>
    <w:bookmarkEnd w:id="588"/>
    <w:bookmarkStart w:id="589" w:name="sec-capterGout"/>
    <w:p>
      <w:pPr>
        <w:pStyle w:val="Heading1"/>
      </w:pPr>
      <w:r>
        <w:t xml:space="preserve">11. Capter le choix des goûts véritables</w:t>
      </w:r>
    </w:p>
    <w:p>
      <w:pPr>
        <w:pStyle w:val="FirstParagraph"/>
      </w:pPr>
      <w:r>
        <w:t xml:space="preserve">Parallèlement à ces projets de recherches je souhaite approfondir les questions théoriques autour de la captation du goût à travers un dispositif d’exploration des choix véritables.</w:t>
      </w:r>
    </w:p>
    <w:p>
      <w:pPr>
        <w:pStyle w:val="BodyText"/>
      </w:pPr>
      <w:r>
        <w:t xml:space="preserve">Entre pouvoirs de discernement et d’agir comment émerge la délibération du goût : j’aime, j’aime pas, c’est bon, c’est mauvais ?</w:t>
      </w:r>
    </w:p>
    <w:p>
      <w:pPr>
        <w:pStyle w:val="BodyText"/>
      </w:pPr>
      <w:r>
        <w:t xml:space="preserve">Peut-on modéliser ce processus ? jusqu’où ?</w:t>
      </w:r>
    </w:p>
    <w:p>
      <w:pPr>
        <w:pStyle w:val="BodyText"/>
      </w:pPr>
      <w:r>
        <w:t xml:space="preserve">En quoi cette modélisation participe à la définition des axiomes qui identifient l’univers absolu de la vérité ?</w:t>
      </w:r>
    </w:p>
    <w:p>
      <w:pPr>
        <w:pStyle w:val="BodyText"/>
      </w:pPr>
      <w:r>
        <w:t xml:space="preserve">L’enjeux très ambitieux est de questionner en quoi une logique pragmatique c’est-à-dire spécifique à l’acteur ici et maintenant permet de penser une logique classique c’est-à-dire absolument générique quelques que soit la multiplicité des acteurs ici et maintenant.</w:t>
      </w:r>
    </w:p>
    <w:p>
      <w:pPr>
        <w:pStyle w:val="BodyText"/>
      </w:pPr>
      <w:r>
        <w:t xml:space="preserve">En tant qu’il génère nécessairement de la multiplicité le vide présent dans tout ensemble transforme le topos spécifique des idées inadéquates en possibilité d’expérimenter l’essence absolue d’une vérité générique.</w:t>
      </w:r>
    </w:p>
    <w:p>
      <w:pPr>
        <w:pStyle w:val="BodyText"/>
      </w:pPr>
      <w:r>
        <w:t xml:space="preserve">Peut-on modéliser autre chose que les conditions d’expérimentation ? Peut-on s’inspirer des spiritualité du vide pour créer ces conditions ?</w:t>
      </w:r>
    </w:p>
    <w:bookmarkEnd w:id="589"/>
    <w:bookmarkStart w:id="606" w:name="sec-developper"/>
    <w:p>
      <w:pPr>
        <w:pStyle w:val="Heading1"/>
      </w:pPr>
      <w:r>
        <w:t xml:space="preserve">12. Développer des outils pour cartographier les connaissances</w:t>
      </w:r>
    </w:p>
    <w:bookmarkStart w:id="590" w:name="Xfb1ed340f1bb713a793b03a03792fd048f6012c"/>
    <w:p>
      <w:pPr>
        <w:pStyle w:val="Heading3"/>
      </w:pPr>
      <w:r>
        <w:t xml:space="preserve">12.0.1 Consolider le calcul de complexité existentielles</w:t>
      </w:r>
    </w:p>
    <w:p>
      <w:pPr>
        <w:pStyle w:val="FirstParagraph"/>
      </w:pPr>
      <w:r>
        <w:t xml:space="preserve">En référence au travaux sur la complexité algorithmique (Perrot, 2022)</w:t>
      </w:r>
    </w:p>
    <w:bookmarkEnd w:id="590"/>
    <w:bookmarkStart w:id="596" w:name="X13445bd1a41b87259df1148db4b593478a32887"/>
    <w:p>
      <w:pPr>
        <w:pStyle w:val="Heading3"/>
      </w:pPr>
      <w:r>
        <w:t xml:space="preserve">12.0.2 Concevoir des interfaces simples et modulaires</w:t>
      </w:r>
    </w:p>
    <w:bookmarkStart w:id="591" w:name="X0f3d91e264eea10164fe87184f058c31dedee54"/>
    <w:p>
      <w:pPr>
        <w:pStyle w:val="Heading4"/>
      </w:pPr>
      <w:r>
        <w:t xml:space="preserve">12.0.2.1 pour calculer l’indice de complexité existentielle</w:t>
      </w:r>
    </w:p>
    <w:bookmarkEnd w:id="591"/>
    <w:bookmarkStart w:id="592" w:name="pour-cartographier-le-flux-des-affects"/>
    <w:p>
      <w:pPr>
        <w:pStyle w:val="Heading4"/>
      </w:pPr>
      <w:r>
        <w:t xml:space="preserve">12.0.2.2 Pour cartographier le flux des affects</w:t>
      </w:r>
    </w:p>
    <w:p>
      <w:pPr>
        <w:pStyle w:val="FirstParagraph"/>
      </w:pPr>
      <w:r>
        <w:t xml:space="preserve">a) le nombre de ceux qui adhèrent à la conception de l’utilité, de la vérité ou de la beauté valorisant (ou condamnant) un objet ou une pratique donnée ;</w:t>
      </w:r>
    </w:p>
    <w:p>
      <w:pPr>
        <w:pStyle w:val="BodyText"/>
      </w:pPr>
      <w:r>
        <w:t xml:space="preserve">b) le poids social de ces adhérents, selon leur statut, leur fonction, leur prestige, leur notoriété et tout ce qui détermine la capacité d’entraînement dont bénéficie leur jugement sur le jugement général du public ; et</w:t>
      </w:r>
    </w:p>
    <w:p>
      <w:pPr>
        <w:pStyle w:val="BodyText"/>
      </w:pPr>
      <w:r>
        <w:t xml:space="preserve">c) l’intensité de l’adhérence avec laquelle les partisans de cet objet ou de cette pratique sont prêts à en défendre et à en promouvoir les mérites. » (Citton 2008b p. 64)</w:t>
      </w:r>
    </w:p>
    <w:bookmarkEnd w:id="592"/>
    <w:bookmarkStart w:id="593" w:name="X2123f080aed04ceb7fe8f40982d1efbac482006"/>
    <w:p>
      <w:pPr>
        <w:pStyle w:val="Heading4"/>
      </w:pPr>
      <w:r>
        <w:t xml:space="preserve">12.0.2.3 pour modéliser graphique un point de vue écosystémique</w:t>
      </w:r>
    </w:p>
    <w:bookmarkEnd w:id="593"/>
    <w:bookmarkStart w:id="594" w:name="pour-générer-des-explorations-cognitives"/>
    <w:p>
      <w:pPr>
        <w:pStyle w:val="Heading4"/>
      </w:pPr>
      <w:r>
        <w:t xml:space="preserve">12.0.2.4 pour générer des explorations cognitives</w:t>
      </w:r>
    </w:p>
    <w:bookmarkEnd w:id="594"/>
    <w:bookmarkStart w:id="595" w:name="Xb66847470c5bf288c0e6f150827500a27340072"/>
    <w:p>
      <w:pPr>
        <w:pStyle w:val="Heading4"/>
      </w:pPr>
      <w:r>
        <w:t xml:space="preserve">12.0.2.5 pour recommander des conversations créatrices</w:t>
      </w:r>
    </w:p>
    <w:bookmarkEnd w:id="595"/>
    <w:bookmarkEnd w:id="596"/>
    <w:bookmarkStart w:id="600" w:name="mettre-en-relation-avec-omeka-s"/>
    <w:p>
      <w:pPr>
        <w:pStyle w:val="Heading3"/>
      </w:pPr>
      <w:r>
        <w:t xml:space="preserve">12.0.3 Mettre en relation avec Omeka S</w:t>
      </w:r>
    </w:p>
    <w:bookmarkStart w:id="598" w:name="pourquoi-omeka-s"/>
    <w:p>
      <w:pPr>
        <w:pStyle w:val="Heading4"/>
      </w:pPr>
      <w:r>
        <w:t xml:space="preserve">12.0.3.1 Pourquoi Omeka S ?</w:t>
      </w:r>
    </w:p>
    <w:p>
      <w:pPr>
        <w:pStyle w:val="FirstParagraph"/>
      </w:pPr>
      <w:r>
        <w:t xml:space="preserve">Pour le développement Open source de solution générique et la mise en relation d’une communauté de concepteurs et d’utilisateurs.</w:t>
      </w:r>
    </w:p>
    <w:p>
      <w:pPr>
        <w:pStyle w:val="BodyText"/>
      </w:pPr>
      <w:r>
        <w:t xml:space="preserve">Une plateforme d’éditorialisation scientifique</w:t>
      </w:r>
    </w:p>
    <w:p>
      <w:pPr>
        <w:pStyle w:val="BodyText"/>
      </w:pPr>
      <w:r>
        <w:t xml:space="preserve">Comparaison de</w:t>
      </w:r>
      <w:r>
        <w:t xml:space="preserve"> </w:t>
      </w:r>
      <w:hyperlink r:id="rId597">
        <w:r>
          <w:rPr>
            <w:rStyle w:val="Hyperlink"/>
            <w:iCs/>
            <w:i/>
          </w:rPr>
          <w:t xml:space="preserve">https://www.orkg.org/</w:t>
        </w:r>
      </w:hyperlink>
    </w:p>
    <w:p>
      <w:pPr>
        <w:pStyle w:val="BodyText"/>
      </w:pPr>
      <w:r>
        <w:t xml:space="preserve">Et de omeka s</w:t>
      </w:r>
    </w:p>
    <w:bookmarkEnd w:id="598"/>
    <w:bookmarkStart w:id="599" w:name="omeka-s-comment"/>
    <w:p>
      <w:pPr>
        <w:pStyle w:val="Heading4"/>
      </w:pPr>
      <w:r>
        <w:t xml:space="preserve">12.0.3.2 Omeka S Comment ?</w:t>
      </w:r>
    </w:p>
    <w:p>
      <w:pPr>
        <w:pStyle w:val="FirstParagraph"/>
      </w:pPr>
      <w:r>
        <w:t xml:space="preserve">Concevoir et développer des modules spécifiques en Open Source dans le cadre des cours et des ateliers</w:t>
      </w:r>
    </w:p>
    <w:bookmarkEnd w:id="599"/>
    <w:bookmarkEnd w:id="600"/>
    <w:bookmarkStart w:id="605" w:name="Xb16dee8de096befd364e784848ecad5fce3075f"/>
    <w:p>
      <w:pPr>
        <w:pStyle w:val="Heading3"/>
      </w:pPr>
      <w:r>
        <w:t xml:space="preserve">12.0.4 Développer des jeux sérieux pour jardiner les connaissances</w:t>
      </w:r>
    </w:p>
    <w:bookmarkStart w:id="601" w:name="X3a2b5db8950cc9afd1b9b75bf1b6abb56bcfb65"/>
    <w:p>
      <w:pPr>
        <w:pStyle w:val="Heading4"/>
      </w:pPr>
      <w:r>
        <w:t xml:space="preserve">12.0.4.1 Annoter collectivement les cours de Gilles Deleuze</w:t>
      </w:r>
    </w:p>
    <w:p>
      <w:pPr>
        <w:pStyle w:val="FirstParagraph"/>
      </w:pPr>
      <w:r>
        <w:t xml:space="preserve">Reprendre les travaux déjà fait pour les rendre plus accessible et efficace en collaboration avec les chercheurs de l’INA et leur outil OKAPI.</w:t>
      </w:r>
    </w:p>
    <w:bookmarkEnd w:id="601"/>
    <w:bookmarkStart w:id="602" w:name="X6a453858a43e64f27675d952700bb9107ca574e"/>
    <w:p>
      <w:pPr>
        <w:pStyle w:val="Heading4"/>
      </w:pPr>
      <w:r>
        <w:t xml:space="preserve">12.0.4.2 H2ptm 4.0 : nouvelle forme de publication scientifique</w:t>
      </w:r>
    </w:p>
    <w:p>
      <w:pPr>
        <w:pStyle w:val="FirstParagraph"/>
      </w:pPr>
      <w:r>
        <w:t xml:space="preserve">Reprendre le descriptif du projet pour ArTec...</w:t>
      </w:r>
    </w:p>
    <w:bookmarkEnd w:id="602"/>
    <w:bookmarkStart w:id="603" w:name="cartographier-les-bibliothèques-du-monde"/>
    <w:p>
      <w:pPr>
        <w:pStyle w:val="Heading4"/>
      </w:pPr>
      <w:r>
        <w:t xml:space="preserve">12.0.4.3 Cartographier les bibliothèques du monde</w:t>
      </w:r>
    </w:p>
    <w:p>
      <w:pPr>
        <w:pStyle w:val="FirstParagraph"/>
      </w:pPr>
      <w:r>
        <w:t xml:space="preserve">Comment explorer finement les connaissances contenues dans les livres à l’échelle de chaque caractère ?</w:t>
      </w:r>
    </w:p>
    <w:bookmarkEnd w:id="603"/>
    <w:bookmarkStart w:id="604" w:name="section"/>
    <w:p>
      <w:pPr>
        <w:pStyle w:val="Heading4"/>
      </w:pPr>
      <w:r>
        <w:t xml:space="preserve">12.0.4.4</w:t>
      </w:r>
      <w:r>
        <w:t xml:space="preserve"> </w:t>
      </w:r>
    </w:p>
    <w:bookmarkEnd w:id="604"/>
    <w:bookmarkEnd w:id="605"/>
    <w:bookmarkEnd w:id="606"/>
    <w:bookmarkStart w:id="611" w:name="sec-diffuser"/>
    <w:p>
      <w:pPr>
        <w:pStyle w:val="Heading1"/>
      </w:pPr>
      <w:r>
        <w:t xml:space="preserve">13. Diffuser le modèle écosystèmique onto-éthique</w:t>
      </w:r>
    </w:p>
    <w:bookmarkStart w:id="607" w:name="publier-un-recueil-des-diagrammes"/>
    <w:p>
      <w:pPr>
        <w:pStyle w:val="Heading2"/>
      </w:pPr>
      <w:r>
        <w:t xml:space="preserve">13.1 Publier un recueil des diagrammes</w:t>
      </w:r>
    </w:p>
    <w:p>
      <w:pPr>
        <w:pStyle w:val="FirstParagraph"/>
      </w:pPr>
      <w:r>
        <w:t xml:space="preserve">A faire dans HAL</w:t>
      </w:r>
    </w:p>
    <w:bookmarkEnd w:id="607"/>
    <w:bookmarkStart w:id="608" w:name="Xc1c8dc59b61e54d631b94e8b7fd8ae6e2332be8"/>
    <w:p>
      <w:pPr>
        <w:pStyle w:val="Heading2"/>
      </w:pPr>
      <w:r>
        <w:t xml:space="preserve">13.2 Publier les codes sources de modélisations</w:t>
      </w:r>
    </w:p>
    <w:p>
      <w:pPr>
        <w:pStyle w:val="FirstParagraph"/>
      </w:pPr>
      <w:r>
        <w:t xml:space="preserve">A faire dans HAL</w:t>
      </w:r>
    </w:p>
    <w:bookmarkEnd w:id="608"/>
    <w:bookmarkStart w:id="609" w:name="Xaf9c16795db54d89442b353b6486a0e93b3a540"/>
    <w:p>
      <w:pPr>
        <w:pStyle w:val="Heading2"/>
      </w:pPr>
      <w:r>
        <w:t xml:space="preserve">13.3 Animer un séminaire de recherche sur la modélisation des connaissances en sciences humaines</w:t>
      </w:r>
    </w:p>
    <w:p>
      <w:pPr>
        <w:pStyle w:val="FirstParagraph"/>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bookmarkEnd w:id="609"/>
    <w:bookmarkStart w:id="610" w:name="sec-modeliserEcosystemeReference"/>
    <w:p>
      <w:pPr>
        <w:pStyle w:val="Heading2"/>
      </w:pPr>
      <w:r>
        <w:t xml:space="preserve">13.4 Modéliser la complexité exitentielle d’écosystème de référence</w:t>
      </w:r>
    </w:p>
    <w:p>
      <w:pPr>
        <w:pStyle w:val="FirstParagraph"/>
      </w:pPr>
      <w:r>
        <w:t xml:space="preserve">Ce travail sera mené dans le cadre du séminaire de recherche sur la modélisation des connaissances en sciences humaines et à une autre échelle dans les cours de Master sur le Web sémantique et ceux sur l’éthique des écosystèmes numériques.</w:t>
      </w:r>
      <w:r>
        <w:t xml:space="preserve"> </w:t>
      </w:r>
      <w:r>
        <w:t xml:space="preserve">Nous prévoyons notamment de mener une recherche au long cours sur la modélisation existentielle de Wikipédia et ses évolutions de même qu’une analyse comparatives des bibliothèques universitaires de France puis du monde.</w:t>
      </w:r>
    </w:p>
    <w:bookmarkEnd w:id="610"/>
    <w:bookmarkEnd w:id="611"/>
    <w:bookmarkStart w:id="788" w:name="references"/>
    <w:p>
      <w:pPr>
        <w:pStyle w:val="Heading1"/>
      </w:pPr>
      <w:r>
        <w:t xml:space="preserve">References</w:t>
      </w:r>
    </w:p>
    <w:bookmarkStart w:id="787" w:name="refs"/>
    <w:bookmarkStart w:id="612"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612"/>
    <w:bookmarkStart w:id="613"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613"/>
    <w:bookmarkStart w:id="615"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614">
        <w:r>
          <w:rPr>
            <w:rStyle w:val="Hyperlink"/>
          </w:rPr>
          <w:t xml:space="preserve">https://www.cairn.info/revue-i2d-information-donnees-et-documents-2022-2-page-8.htm</w:t>
        </w:r>
      </w:hyperlink>
    </w:p>
    <w:bookmarkEnd w:id="615"/>
    <w:bookmarkStart w:id="617"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616">
        <w:r>
          <w:rPr>
            <w:rStyle w:val="Hyperlink"/>
          </w:rPr>
          <w:t xml:space="preserve">https://dial.uclouvain.be/pr/boreal/object/boreal:255906</w:t>
        </w:r>
      </w:hyperlink>
    </w:p>
    <w:bookmarkEnd w:id="617"/>
    <w:bookmarkStart w:id="619"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618">
        <w:r>
          <w:rPr>
            <w:rStyle w:val="Hyperlink"/>
          </w:rPr>
          <w:t xml:space="preserve">https://intelligibilite-numerique.numerev.com/manifeste</w:t>
        </w:r>
      </w:hyperlink>
    </w:p>
    <w:bookmarkEnd w:id="619"/>
    <w:bookmarkStart w:id="621"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620">
        <w:r>
          <w:rPr>
            <w:rStyle w:val="Hyperlink"/>
          </w:rPr>
          <w:t xml:space="preserve">http://www.cairn.info/article.php?ID_ARTICLE=DOCSI_484_0024</w:t>
        </w:r>
      </w:hyperlink>
    </w:p>
    <w:bookmarkEnd w:id="621"/>
    <w:bookmarkStart w:id="622"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622"/>
    <w:bookmarkStart w:id="623"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623"/>
    <w:bookmarkStart w:id="624" w:name="ref-balpe2002"/>
    <w:p>
      <w:pPr>
        <w:pStyle w:val="Bibliography"/>
      </w:pPr>
      <w:r>
        <w:t xml:space="preserve">Balpe, J.-P. (2002). La programmation du sens. Odile Jacob.</w:t>
      </w:r>
    </w:p>
    <w:bookmarkEnd w:id="624"/>
    <w:bookmarkStart w:id="625"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625"/>
    <w:bookmarkStart w:id="627"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626">
        <w:r>
          <w:rPr>
            <w:rStyle w:val="Hyperlink"/>
          </w:rPr>
          <w:t xml:space="preserve">https://gephi.org/publications/gephi-bastian-feb09.pdf</w:t>
        </w:r>
      </w:hyperlink>
    </w:p>
    <w:bookmarkEnd w:id="627"/>
    <w:bookmarkStart w:id="629"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628">
        <w:r>
          <w:rPr>
            <w:rStyle w:val="Hyperlink"/>
          </w:rPr>
          <w:t xml:space="preserve">http://journals.openedition.org/questionsdecommunication/10442</w:t>
        </w:r>
      </w:hyperlink>
    </w:p>
    <w:bookmarkEnd w:id="629"/>
    <w:bookmarkStart w:id="631"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630">
        <w:r>
          <w:rPr>
            <w:rStyle w:val="Hyperlink"/>
          </w:rPr>
          <w:t xml:space="preserve">https://www.cairn.info/la-representation-des-donnees-geographiques--9782200617820.htm</w:t>
        </w:r>
      </w:hyperlink>
    </w:p>
    <w:bookmarkEnd w:id="631"/>
    <w:bookmarkStart w:id="632"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632"/>
    <w:bookmarkStart w:id="634"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633">
        <w:r>
          <w:rPr>
            <w:rStyle w:val="Hyperlink"/>
          </w:rPr>
          <w:t xml:space="preserve">https://journals.openedition.org/revuehn/3349</w:t>
        </w:r>
      </w:hyperlink>
    </w:p>
    <w:bookmarkEnd w:id="634"/>
    <w:bookmarkStart w:id="635"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635"/>
    <w:bookmarkStart w:id="636"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636"/>
    <w:bookmarkStart w:id="637"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637"/>
    <w:bookmarkStart w:id="638"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638"/>
    <w:bookmarkStart w:id="640"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639">
        <w:r>
          <w:rPr>
            <w:rStyle w:val="Hyperlink"/>
          </w:rPr>
          <w:t xml:space="preserve">https://revistas.pucsp.br/index.php/actasemiotica/article/view/54143</w:t>
        </w:r>
      </w:hyperlink>
    </w:p>
    <w:bookmarkEnd w:id="640"/>
    <w:bookmarkStart w:id="642"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641">
        <w:r>
          <w:rPr>
            <w:rStyle w:val="Hyperlink"/>
          </w:rPr>
          <w:t xml:space="preserve">http://archivesic.ccsd.cnrs.fr/sic_00713487</w:t>
        </w:r>
      </w:hyperlink>
    </w:p>
    <w:bookmarkEnd w:id="642"/>
    <w:bookmarkStart w:id="644" w:name="ref-cardon2015"/>
    <w:p>
      <w:pPr>
        <w:pStyle w:val="Bibliography"/>
      </w:pPr>
      <w:r>
        <w:t xml:space="preserve">Cardon, D. (2015). Conclusion. La route et le paysage. La République des idées (pp. 105–106). Paris: Le Seuil. Retrieved from</w:t>
      </w:r>
      <w:r>
        <w:t xml:space="preserve"> </w:t>
      </w:r>
      <w:hyperlink r:id="rId643">
        <w:r>
          <w:rPr>
            <w:rStyle w:val="Hyperlink"/>
          </w:rPr>
          <w:t xml:space="preserve">https://www.cairn.info/a-quoi-revent-les-algorithmes--9782021279962-p-105.htm</w:t>
        </w:r>
      </w:hyperlink>
    </w:p>
    <w:bookmarkEnd w:id="644"/>
    <w:bookmarkStart w:id="646"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645">
        <w:r>
          <w:rPr>
            <w:rStyle w:val="Hyperlink"/>
          </w:rPr>
          <w:t xml:space="preserve">https://journals.openedition.org/assr/29717</w:t>
        </w:r>
      </w:hyperlink>
    </w:p>
    <w:bookmarkEnd w:id="646"/>
    <w:bookmarkStart w:id="647" w:name="ref-chardin1997"/>
    <w:p>
      <w:pPr>
        <w:pStyle w:val="Bibliography"/>
      </w:pPr>
      <w:r>
        <w:t xml:space="preserve">Chardin, P. T. de, &amp; Tardivel, F. (1997).</w:t>
      </w:r>
      <w:r>
        <w:t xml:space="preserve"> </w:t>
      </w:r>
      <w:r>
        <w:rPr>
          <w:iCs/>
          <w:i/>
        </w:rPr>
        <w:t xml:space="preserve">Hymne de l’univers</w:t>
      </w:r>
      <w:r>
        <w:t xml:space="preserve">. Seuil.</w:t>
      </w:r>
    </w:p>
    <w:bookmarkEnd w:id="647"/>
    <w:bookmarkStart w:id="648" w:name="ref-citton2008"/>
    <w:p>
      <w:pPr>
        <w:pStyle w:val="Bibliography"/>
      </w:pPr>
      <w:r>
        <w:t xml:space="preserve">Citton, Y. (2008a). Entre l’économie psychique de spinoza et l’inter-psychologie économique de tarde (pp. 45–68). Paris: Éd. Amsterdam.</w:t>
      </w:r>
    </w:p>
    <w:bookmarkEnd w:id="648"/>
    <w:bookmarkStart w:id="649" w:name="ref-citton2008a"/>
    <w:p>
      <w:pPr>
        <w:pStyle w:val="Bibliography"/>
      </w:pPr>
      <w:r>
        <w:t xml:space="preserve">Citton, Y. (2008b). Les lois de l’imitation des affects (pp. 69–102). Paris: Éd. Amsterdam.</w:t>
      </w:r>
    </w:p>
    <w:bookmarkEnd w:id="649"/>
    <w:bookmarkStart w:id="651"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650">
        <w:r>
          <w:rPr>
            <w:rStyle w:val="Hyperlink"/>
          </w:rPr>
          <w:t xml:space="preserve">http://www.lesateliersderennes.fr/sites/default/files/media/cequivientdenous.pdf</w:t>
        </w:r>
      </w:hyperlink>
    </w:p>
    <w:bookmarkEnd w:id="651"/>
    <w:bookmarkStart w:id="652" w:name="ref-citton2008b"/>
    <w:p>
      <w:pPr>
        <w:pStyle w:val="Bibliography"/>
      </w:pPr>
      <w:r>
        <w:t xml:space="preserve">Citton, Y., &amp; Lordon, F. (2008). Un devenir spinoziste de sciences sociales ? (pp. 15–44). Paris: Éd. Amsterdam.</w:t>
      </w:r>
    </w:p>
    <w:bookmarkEnd w:id="652"/>
    <w:bookmarkStart w:id="653"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653"/>
    <w:bookmarkStart w:id="655"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654">
        <w:r>
          <w:rPr>
            <w:rStyle w:val="Hyperlink"/>
          </w:rPr>
          <w:t xml:space="preserve">https://www.cairn.info/education-philosophique--9782130458975-page-86.htm</w:t>
        </w:r>
      </w:hyperlink>
    </w:p>
    <w:bookmarkEnd w:id="655"/>
    <w:bookmarkStart w:id="657"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656">
        <w:r>
          <w:rPr>
            <w:rStyle w:val="Hyperlink"/>
          </w:rPr>
          <w:t xml:space="preserve">http://books.openedition.org/pufc/13838</w:t>
        </w:r>
      </w:hyperlink>
    </w:p>
    <w:bookmarkEnd w:id="657"/>
    <w:bookmarkStart w:id="659"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658">
        <w:r>
          <w:rPr>
            <w:rStyle w:val="Hyperlink"/>
          </w:rPr>
          <w:t xml:space="preserve">https://www.erudit.org/fr/revues/npss/2009-v4-n2-npss03175/1040904ar/</w:t>
        </w:r>
      </w:hyperlink>
    </w:p>
    <w:bookmarkEnd w:id="659"/>
    <w:bookmarkStart w:id="661"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660">
        <w:r>
          <w:rPr>
            <w:rStyle w:val="Hyperlink"/>
          </w:rPr>
          <w:t xml:space="preserve">https://www.cairn.info/revue-multitudes-2021-4-page-129.htm</w:t>
        </w:r>
      </w:hyperlink>
    </w:p>
    <w:bookmarkEnd w:id="661"/>
    <w:bookmarkStart w:id="662"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662"/>
    <w:bookmarkStart w:id="664" w:name="ref-deleuze1981"/>
    <w:p>
      <w:pPr>
        <w:pStyle w:val="Bibliography"/>
      </w:pPr>
      <w:r>
        <w:t xml:space="preserve">Deleuze, G. (1981, March 17). La voix de gilles deleuze : 12- 17/03/81 - 1. Retrieved from</w:t>
      </w:r>
      <w:r>
        <w:t xml:space="preserve"> </w:t>
      </w:r>
      <w:hyperlink r:id="rId663">
        <w:r>
          <w:rPr>
            <w:rStyle w:val="Hyperlink"/>
          </w:rPr>
          <w:t xml:space="preserve">http://www2.univ-paris8.fr/deleuze/article.php3?id_article=151</w:t>
        </w:r>
      </w:hyperlink>
    </w:p>
    <w:bookmarkEnd w:id="664"/>
    <w:bookmarkStart w:id="665" w:name="ref-deleuze1988"/>
    <w:p>
      <w:pPr>
        <w:pStyle w:val="Bibliography"/>
      </w:pPr>
      <w:r>
        <w:t xml:space="preserve">Deleuze, G. (1988).</w:t>
      </w:r>
      <w:r>
        <w:t xml:space="preserve"> </w:t>
      </w:r>
      <w:r>
        <w:rPr>
          <w:iCs/>
          <w:i/>
        </w:rPr>
        <w:t xml:space="preserve">Le pli</w:t>
      </w:r>
      <w:r>
        <w:t xml:space="preserve">. Editions de Minuit.</w:t>
      </w:r>
    </w:p>
    <w:bookmarkEnd w:id="665"/>
    <w:bookmarkStart w:id="666" w:name="ref-deleuze2003"/>
    <w:p>
      <w:pPr>
        <w:pStyle w:val="Bibliography"/>
      </w:pPr>
      <w:r>
        <w:t xml:space="preserve">Deleuze, G. (2003).</w:t>
      </w:r>
      <w:r>
        <w:t xml:space="preserve"> </w:t>
      </w:r>
      <w:r>
        <w:rPr>
          <w:iCs/>
          <w:i/>
        </w:rPr>
        <w:t xml:space="preserve">Spinoza. : Philosophie pratique</w:t>
      </w:r>
      <w:r>
        <w:t xml:space="preserve"> </w:t>
      </w:r>
      <w:r>
        <w:t xml:space="preserve">([Nouv. éd.].). Editions de Minuit.</w:t>
      </w:r>
    </w:p>
    <w:bookmarkEnd w:id="666"/>
    <w:bookmarkStart w:id="667"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667"/>
    <w:bookmarkStart w:id="668"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668"/>
    <w:bookmarkStart w:id="669"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669"/>
    <w:bookmarkStart w:id="671"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670">
        <w:r>
          <w:rPr>
            <w:rStyle w:val="Hyperlink"/>
          </w:rPr>
          <w:t xml:space="preserve">http://id.erudit.org/iderudit/014932ar</w:t>
        </w:r>
      </w:hyperlink>
    </w:p>
    <w:bookmarkEnd w:id="671"/>
    <w:bookmarkStart w:id="672" w:name="ref-descola2005"/>
    <w:p>
      <w:pPr>
        <w:pStyle w:val="Bibliography"/>
      </w:pPr>
      <w:r>
        <w:t xml:space="preserve">Descola, Philippe. (2005).</w:t>
      </w:r>
      <w:r>
        <w:t xml:space="preserve"> </w:t>
      </w:r>
      <w:r>
        <w:rPr>
          <w:iCs/>
          <w:i/>
        </w:rPr>
        <w:t xml:space="preserve">Par-delà nature et culture</w:t>
      </w:r>
      <w:r>
        <w:t xml:space="preserve">. Paris: NRF : Gallimard.</w:t>
      </w:r>
    </w:p>
    <w:bookmarkEnd w:id="672"/>
    <w:bookmarkStart w:id="673" w:name="ref-desfrichesdoria2021"/>
    <w:p>
      <w:pPr>
        <w:pStyle w:val="Bibliography"/>
      </w:pPr>
      <w:r>
        <w:t xml:space="preserve">Desfriches Doria, O., &amp; Meunier, J.-M. (2021b).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73"/>
    <w:bookmarkStart w:id="674" w:name="ref-desfrichesdoria2021a"/>
    <w:p>
      <w:pPr>
        <w:pStyle w:val="Bibliography"/>
      </w:pPr>
      <w:r>
        <w:t xml:space="preserve">Desfriches Doria, O., &amp; Meunier, J.-M. (2021a).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74"/>
    <w:bookmarkStart w:id="676"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675">
        <w:r>
          <w:rPr>
            <w:rStyle w:val="Hyperlink"/>
          </w:rPr>
          <w:t xml:space="preserve">http://terminal.revues.org/1227</w:t>
        </w:r>
      </w:hyperlink>
    </w:p>
    <w:bookmarkEnd w:id="676"/>
    <w:bookmarkStart w:id="678"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677">
        <w:r>
          <w:rPr>
            <w:rStyle w:val="Hyperlink"/>
          </w:rPr>
          <w:t xml:space="preserve">https://hal.archives-ouvertes.fr/hal-03573956</w:t>
        </w:r>
      </w:hyperlink>
    </w:p>
    <w:bookmarkEnd w:id="678"/>
    <w:bookmarkStart w:id="679"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679"/>
    <w:bookmarkStart w:id="680" w:name="ref-eco1994"/>
    <w:p>
      <w:pPr>
        <w:pStyle w:val="Bibliography"/>
      </w:pPr>
      <w:r>
        <w:t xml:space="preserve">Eco, U. (1994).</w:t>
      </w:r>
      <w:r>
        <w:t xml:space="preserve"> </w:t>
      </w:r>
      <w:r>
        <w:rPr>
          <w:iCs/>
          <w:i/>
        </w:rPr>
        <w:t xml:space="preserve">La recherche de la langue parfaite dans la culture européenne</w:t>
      </w:r>
      <w:r>
        <w:t xml:space="preserve">. Paris: Seuil.</w:t>
      </w:r>
    </w:p>
    <w:bookmarkEnd w:id="680"/>
    <w:bookmarkStart w:id="682"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681">
        <w:r>
          <w:rPr>
            <w:rStyle w:val="Hyperlink"/>
          </w:rPr>
          <w:t xml:space="preserve">https://www.cairn.info/revue-i2d-information-donnees-et-documents-2015-2-page-32.htm</w:t>
        </w:r>
      </w:hyperlink>
    </w:p>
    <w:bookmarkEnd w:id="682"/>
    <w:bookmarkStart w:id="683" w:name="ref-foucault1990"/>
    <w:p>
      <w:pPr>
        <w:pStyle w:val="Bibliography"/>
      </w:pPr>
      <w:r>
        <w:t xml:space="preserve">Foucault, M. (1990).</w:t>
      </w:r>
      <w:r>
        <w:t xml:space="preserve"> </w:t>
      </w:r>
      <w:r>
        <w:rPr>
          <w:iCs/>
          <w:i/>
        </w:rPr>
        <w:t xml:space="preserve">Les mots et les choses</w:t>
      </w:r>
      <w:r>
        <w:t xml:space="preserve">. Gallimard.</w:t>
      </w:r>
    </w:p>
    <w:bookmarkEnd w:id="683"/>
    <w:bookmarkStart w:id="684"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684"/>
    <w:bookmarkStart w:id="685"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685"/>
    <w:bookmarkStart w:id="687"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686">
        <w:r>
          <w:rPr>
            <w:rStyle w:val="Hyperlink"/>
          </w:rPr>
          <w:t xml:space="preserve">https://www.persee.fr/doc/intel_0769-4113_2001_num_32_1_1617</w:t>
        </w:r>
      </w:hyperlink>
    </w:p>
    <w:bookmarkEnd w:id="687"/>
    <w:bookmarkStart w:id="689"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688">
        <w:r>
          <w:rPr>
            <w:rStyle w:val="Hyperlink"/>
          </w:rPr>
          <w:t xml:space="preserve">https://journals.openedition.org/physio-geo/9186</w:t>
        </w:r>
      </w:hyperlink>
    </w:p>
    <w:bookmarkEnd w:id="689"/>
    <w:bookmarkStart w:id="690" w:name="ref-gleick1999"/>
    <w:p>
      <w:pPr>
        <w:pStyle w:val="Bibliography"/>
      </w:pPr>
      <w:r>
        <w:t xml:space="preserve">Gleick, J. (1999).</w:t>
      </w:r>
      <w:r>
        <w:t xml:space="preserve"> </w:t>
      </w:r>
      <w:r>
        <w:rPr>
          <w:iCs/>
          <w:i/>
        </w:rPr>
        <w:t xml:space="preserve">La théorie du chaos : Vers une nouvelle science</w:t>
      </w:r>
      <w:r>
        <w:t xml:space="preserve">. Flammarion.</w:t>
      </w:r>
    </w:p>
    <w:bookmarkEnd w:id="690"/>
    <w:bookmarkStart w:id="691" w:name="ref-guattari1989"/>
    <w:p>
      <w:pPr>
        <w:pStyle w:val="Bibliography"/>
      </w:pPr>
      <w:r>
        <w:t xml:space="preserve">Guattari, F. (1989).</w:t>
      </w:r>
      <w:r>
        <w:t xml:space="preserve"> </w:t>
      </w:r>
      <w:r>
        <w:rPr>
          <w:iCs/>
          <w:i/>
        </w:rPr>
        <w:t xml:space="preserve">Cartographies schizoanalytiques</w:t>
      </w:r>
      <w:r>
        <w:t xml:space="preserve">. Galilée.</w:t>
      </w:r>
    </w:p>
    <w:bookmarkEnd w:id="691"/>
    <w:bookmarkStart w:id="692" w:name="ref-guattari1992"/>
    <w:p>
      <w:pPr>
        <w:pStyle w:val="Bibliography"/>
      </w:pPr>
      <w:r>
        <w:t xml:space="preserve">Guattari, F. (1992).</w:t>
      </w:r>
      <w:r>
        <w:t xml:space="preserve"> </w:t>
      </w:r>
      <w:r>
        <w:rPr>
          <w:iCs/>
          <w:i/>
        </w:rPr>
        <w:t xml:space="preserve">Chaosmose</w:t>
      </w:r>
      <w:r>
        <w:t xml:space="preserve">. Paris: Galilée.</w:t>
      </w:r>
    </w:p>
    <w:bookmarkEnd w:id="692"/>
    <w:bookmarkStart w:id="693"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693"/>
    <w:bookmarkStart w:id="694"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694"/>
    <w:bookmarkStart w:id="696"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695">
        <w:r>
          <w:rPr>
            <w:rStyle w:val="Hyperlink"/>
          </w:rPr>
          <w:t xml:space="preserve">http://accesdistant.bu.univ-paris8.fr:2056/article.php?ID_ARTICLE=MULT_051_0074&amp;DocId=236472&amp;Index=%2Fcairn2Idx%2Fcairn&amp;TypeID=226&amp;BAL=ankPawzF93mrk&amp;HitCount=2&amp;hits=1add+1adc+0&amp;fileext=html#hit1</w:t>
        </w:r>
      </w:hyperlink>
    </w:p>
    <w:bookmarkEnd w:id="696"/>
    <w:bookmarkStart w:id="697"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697"/>
    <w:bookmarkStart w:id="698"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698"/>
    <w:bookmarkStart w:id="699" w:name="ref-ingold"/>
    <w:p>
      <w:pPr>
        <w:pStyle w:val="Bibliography"/>
      </w:pPr>
      <w:r>
        <w:t xml:space="preserve">Ingold, T. (n.d.).</w:t>
      </w:r>
      <w:r>
        <w:t xml:space="preserve"> </w:t>
      </w:r>
      <w:r>
        <w:rPr>
          <w:iCs/>
          <w:i/>
        </w:rPr>
        <w:t xml:space="preserve">L’anthropologie comme éducation</w:t>
      </w:r>
      <w:r>
        <w:t xml:space="preserve">. Collection Paideia.</w:t>
      </w:r>
    </w:p>
    <w:bookmarkEnd w:id="699"/>
    <w:bookmarkStart w:id="701" w:name="ref-isaac2011"/>
    <w:p>
      <w:pPr>
        <w:pStyle w:val="Bibliography"/>
      </w:pPr>
      <w:r>
        <w:t xml:space="preserve">Isaac, A. (2011). DC-2011, The Hague. Retrieved from</w:t>
      </w:r>
      <w:r>
        <w:t xml:space="preserve"> </w:t>
      </w:r>
      <w:hyperlink r:id="rId700">
        <w:r>
          <w:rPr>
            <w:rStyle w:val="Hyperlink"/>
          </w:rPr>
          <w:t xml:space="preserve">http://dcevents.dublincore.org/IntConf/dc-2011/paper/view/69</w:t>
        </w:r>
      </w:hyperlink>
    </w:p>
    <w:bookmarkEnd w:id="701"/>
    <w:bookmarkStart w:id="702" w:name="ref-jauss1978a"/>
    <w:p>
      <w:pPr>
        <w:pStyle w:val="Bibliography"/>
      </w:pPr>
      <w:r>
        <w:t xml:space="preserve">Jauss, H. R. (1978).</w:t>
      </w:r>
      <w:r>
        <w:t xml:space="preserve"> </w:t>
      </w:r>
      <w:r>
        <w:rPr>
          <w:iCs/>
          <w:i/>
        </w:rPr>
        <w:t xml:space="preserve">Pour une esthétique de la réception</w:t>
      </w:r>
      <w:r>
        <w:t xml:space="preserve">. Gallimard.</w:t>
      </w:r>
    </w:p>
    <w:bookmarkEnd w:id="702"/>
    <w:bookmarkStart w:id="703"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703"/>
    <w:bookmarkStart w:id="704"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704"/>
    <w:bookmarkStart w:id="706"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705">
        <w:r>
          <w:rPr>
            <w:rStyle w:val="Hyperlink"/>
          </w:rPr>
          <w:t xml:space="preserve">https://tel.archives-ouvertes.fr/tel-02637029</w:t>
        </w:r>
      </w:hyperlink>
    </w:p>
    <w:bookmarkEnd w:id="706"/>
    <w:bookmarkStart w:id="708"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707">
        <w:r>
          <w:rPr>
            <w:rStyle w:val="Hyperlink"/>
          </w:rPr>
          <w:t xml:space="preserve">http://www.bruno-latour.fr/sites/default/files/98-SOURIAU-FR.pdf</w:t>
        </w:r>
      </w:hyperlink>
    </w:p>
    <w:bookmarkEnd w:id="708"/>
    <w:bookmarkStart w:id="709"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709"/>
    <w:bookmarkStart w:id="710"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710"/>
    <w:bookmarkStart w:id="711" w:name="ref-latour2015"/>
    <w:p>
      <w:pPr>
        <w:pStyle w:val="Bibliography"/>
      </w:pPr>
      <w:r>
        <w:t xml:space="preserve">Latour, B. (2015).</w:t>
      </w:r>
      <w:r>
        <w:t xml:space="preserve"> </w:t>
      </w:r>
      <w:r>
        <w:rPr>
          <w:iCs/>
          <w:i/>
        </w:rPr>
        <w:t xml:space="preserve">Face à Gaïa</w:t>
      </w:r>
      <w:r>
        <w:t xml:space="preserve">. Paris: La Découverte.</w:t>
      </w:r>
    </w:p>
    <w:bookmarkEnd w:id="711"/>
    <w:bookmarkStart w:id="713" w:name="ref-lecun"/>
    <w:p>
      <w:pPr>
        <w:pStyle w:val="Bibliography"/>
      </w:pPr>
      <w:r>
        <w:t xml:space="preserve">LeCun, Y. (n.d.). A vision to make AI systems learn and reason like animals and humans. Retrieved from</w:t>
      </w:r>
      <w:r>
        <w:t xml:space="preserve"> </w:t>
      </w:r>
      <w:hyperlink r:id="rId712">
        <w:r>
          <w:rPr>
            <w:rStyle w:val="Hyperlink"/>
          </w:rPr>
          <w:t xml:space="preserve">https://ai.meta.com/blog/yann-lecun-advances-in-ai-research/</w:t>
        </w:r>
      </w:hyperlink>
    </w:p>
    <w:bookmarkEnd w:id="713"/>
    <w:bookmarkStart w:id="715"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714">
        <w:r>
          <w:rPr>
            <w:rStyle w:val="Hyperlink"/>
          </w:rPr>
          <w:t xml:space="preserve">https://hal.science/tel-04015572/document</w:t>
        </w:r>
      </w:hyperlink>
    </w:p>
    <w:bookmarkEnd w:id="715"/>
    <w:bookmarkStart w:id="717"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716">
        <w:r>
          <w:rPr>
            <w:rStyle w:val="Hyperlink"/>
          </w:rPr>
          <w:t xml:space="preserve">https://tel.archives-ouvertes.fr/tel-00460708/document</w:t>
        </w:r>
      </w:hyperlink>
    </w:p>
    <w:bookmarkEnd w:id="717"/>
    <w:bookmarkStart w:id="718"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718"/>
    <w:bookmarkStart w:id="720" w:name="ref-lévy2023"/>
    <w:p>
      <w:pPr>
        <w:pStyle w:val="Bibliography"/>
      </w:pPr>
      <w:r>
        <w:t xml:space="preserve">Lévy, P. (2023a, July 12). Intelligence collective, intelligence artificielle et partage du savoir. Retrieved from</w:t>
      </w:r>
      <w:r>
        <w:t xml:space="preserve"> </w:t>
      </w:r>
      <w:hyperlink r:id="rId719">
        <w:r>
          <w:rPr>
            <w:rStyle w:val="Hyperlink"/>
          </w:rPr>
          <w:t xml:space="preserve">https://pierrelevyblog.com/2023/07/12/intelligence-collective-intelligence-artificielle-et-partage-du-savoir/</w:t>
        </w:r>
      </w:hyperlink>
    </w:p>
    <w:bookmarkEnd w:id="720"/>
    <w:bookmarkStart w:id="722" w:name="ref-lévy2023a"/>
    <w:p>
      <w:pPr>
        <w:pStyle w:val="Bibliography"/>
      </w:pPr>
      <w:r>
        <w:t xml:space="preserve">Lévy, P. (2023b, April).</w:t>
      </w:r>
      <w:r>
        <w:t xml:space="preserve"> </w:t>
      </w:r>
      <w:r>
        <w:rPr>
          <w:iCs/>
          <w:i/>
        </w:rPr>
        <w:t xml:space="preserve">CALCULER LA SÉMANTIQUE AVEC IEML</w:t>
      </w:r>
      <w:r>
        <w:t xml:space="preserve">. Retrieved from</w:t>
      </w:r>
      <w:r>
        <w:t xml:space="preserve"> </w:t>
      </w:r>
      <w:hyperlink r:id="rId721">
        <w:r>
          <w:rPr>
            <w:rStyle w:val="Hyperlink"/>
          </w:rPr>
          <w:t xml:space="preserve">https://hal.science/hal-04055239</w:t>
        </w:r>
      </w:hyperlink>
    </w:p>
    <w:bookmarkEnd w:id="722"/>
    <w:bookmarkStart w:id="723"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723"/>
    <w:bookmarkStart w:id="724"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724"/>
    <w:bookmarkStart w:id="725"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725"/>
    <w:bookmarkStart w:id="726" w:name="ref-morin1981"/>
    <w:p>
      <w:pPr>
        <w:pStyle w:val="Bibliography"/>
      </w:pPr>
      <w:r>
        <w:t xml:space="preserve">Morin, E. (1981).</w:t>
      </w:r>
      <w:r>
        <w:t xml:space="preserve"> </w:t>
      </w:r>
      <w:r>
        <w:rPr>
          <w:iCs/>
          <w:i/>
        </w:rPr>
        <w:t xml:space="preserve">La méthode, tome 1</w:t>
      </w:r>
      <w:r>
        <w:t xml:space="preserve">. Seuil.</w:t>
      </w:r>
    </w:p>
    <w:bookmarkEnd w:id="726"/>
    <w:bookmarkStart w:id="727" w:name="ref-morin1985"/>
    <w:p>
      <w:pPr>
        <w:pStyle w:val="Bibliography"/>
      </w:pPr>
      <w:r>
        <w:t xml:space="preserve">Morin, E. (1985).</w:t>
      </w:r>
      <w:r>
        <w:t xml:space="preserve"> </w:t>
      </w:r>
      <w:r>
        <w:rPr>
          <w:iCs/>
          <w:i/>
        </w:rPr>
        <w:t xml:space="preserve">La méthode, la vie de la vie, tome 2</w:t>
      </w:r>
      <w:r>
        <w:t xml:space="preserve">. Seuil.</w:t>
      </w:r>
    </w:p>
    <w:bookmarkEnd w:id="727"/>
    <w:bookmarkStart w:id="728" w:name="ref-morin1992"/>
    <w:p>
      <w:pPr>
        <w:pStyle w:val="Bibliography"/>
      </w:pPr>
      <w:r>
        <w:t xml:space="preserve">Morin, E. (1992).</w:t>
      </w:r>
      <w:r>
        <w:t xml:space="preserve"> </w:t>
      </w:r>
      <w:r>
        <w:rPr>
          <w:iCs/>
          <w:i/>
        </w:rPr>
        <w:t xml:space="preserve">La méthode, la connaissance de la connaissance, tome 3</w:t>
      </w:r>
      <w:r>
        <w:t xml:space="preserve">. Seuil.</w:t>
      </w:r>
    </w:p>
    <w:bookmarkEnd w:id="728"/>
    <w:bookmarkStart w:id="729" w:name="ref-morin1995"/>
    <w:p>
      <w:pPr>
        <w:pStyle w:val="Bibliography"/>
      </w:pPr>
      <w:r>
        <w:t xml:space="preserve">Morin, E. (1995).</w:t>
      </w:r>
      <w:r>
        <w:t xml:space="preserve"> </w:t>
      </w:r>
      <w:r>
        <w:rPr>
          <w:iCs/>
          <w:i/>
        </w:rPr>
        <w:t xml:space="preserve">La méthode, tome 4 : Les idées</w:t>
      </w:r>
      <w:r>
        <w:t xml:space="preserve">. Seuil.</w:t>
      </w:r>
    </w:p>
    <w:bookmarkEnd w:id="729"/>
    <w:bookmarkStart w:id="730"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730"/>
    <w:bookmarkStart w:id="731" w:name="ref-morin2006"/>
    <w:p>
      <w:pPr>
        <w:pStyle w:val="Bibliography"/>
      </w:pPr>
      <w:r>
        <w:t xml:space="preserve">Morin, E. (2006).</w:t>
      </w:r>
      <w:r>
        <w:t xml:space="preserve"> </w:t>
      </w:r>
      <w:r>
        <w:rPr>
          <w:iCs/>
          <w:i/>
        </w:rPr>
        <w:t xml:space="preserve">La méthode : Tome 6, ethique</w:t>
      </w:r>
      <w:r>
        <w:t xml:space="preserve">. Points.</w:t>
      </w:r>
    </w:p>
    <w:bookmarkEnd w:id="731"/>
    <w:bookmarkStart w:id="733"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732">
        <w:r>
          <w:rPr>
            <w:rStyle w:val="Hyperlink"/>
          </w:rPr>
          <w:t xml:space="preserve">https://theses.hal.science/tel-02507902/document</w:t>
        </w:r>
      </w:hyperlink>
    </w:p>
    <w:bookmarkEnd w:id="733"/>
    <w:bookmarkStart w:id="735" w:name="ref-pappa2023"/>
    <w:p>
      <w:pPr>
        <w:pStyle w:val="Bibliography"/>
      </w:pPr>
      <w:r>
        <w:t xml:space="preserve">Pappa, A., Szoniecky, S., Berenguer, R., Huthwohl, J., Quach, C., &amp; Laborderie, A. (2023). 52nd LIBER Annual Conference. Budapest. Retrieved from</w:t>
      </w:r>
      <w:r>
        <w:t xml:space="preserve"> </w:t>
      </w:r>
      <w:hyperlink r:id="rId734">
        <w:r>
          <w:rPr>
            <w:rStyle w:val="Hyperlink"/>
          </w:rPr>
          <w:t xml:space="preserve">https://liberconference.eu/wp-content/uploads/2023/06/LIBER_2023_conf_book_website_NEW.pdf</w:t>
        </w:r>
      </w:hyperlink>
    </w:p>
    <w:bookmarkEnd w:id="735"/>
    <w:bookmarkStart w:id="737"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736">
        <w:r>
          <w:rPr>
            <w:rStyle w:val="Hyperlink"/>
          </w:rPr>
          <w:t xml:space="preserve">http://journals.openedition.org/rac/2554</w:t>
        </w:r>
      </w:hyperlink>
    </w:p>
    <w:bookmarkEnd w:id="737"/>
    <w:bookmarkStart w:id="738"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738"/>
    <w:bookmarkStart w:id="740"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739">
        <w:r>
          <w:rPr>
            <w:rStyle w:val="Hyperlink"/>
          </w:rPr>
          <w:t xml:space="preserve">https://bnf.hypotheses.org/12976</w:t>
        </w:r>
      </w:hyperlink>
    </w:p>
    <w:bookmarkEnd w:id="740"/>
    <w:bookmarkStart w:id="742"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741">
        <w:r>
          <w:rPr>
            <w:rStyle w:val="Hyperlink"/>
          </w:rPr>
          <w:t xml:space="preserve">https://www.persee.fr/doc/spgeo_0046-2497_1996_num_25_1_951</w:t>
        </w:r>
      </w:hyperlink>
    </w:p>
    <w:bookmarkEnd w:id="742"/>
    <w:bookmarkStart w:id="743"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743"/>
    <w:bookmarkStart w:id="744"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744"/>
    <w:bookmarkStart w:id="745"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745"/>
    <w:bookmarkStart w:id="747" w:name="ref-saleh2023"/>
    <w:p>
      <w:pPr>
        <w:pStyle w:val="Bibliography"/>
      </w:pPr>
      <w:r>
        <w:t xml:space="preserve">Saleh, I., Szoniecky, S., &amp; Ghenima, M. (2023).</w:t>
      </w:r>
      <w:r>
        <w:t xml:space="preserve"> </w:t>
      </w:r>
      <w:r>
        <w:rPr>
          <w:iCs/>
          <w:i/>
        </w:rPr>
        <w:t xml:space="preserve">5ème colloque Frontières Numériques</w:t>
      </w:r>
      <w:r>
        <w:t xml:space="preserve">. Retrieved from</w:t>
      </w:r>
      <w:r>
        <w:t xml:space="preserve"> </w:t>
      </w:r>
      <w:hyperlink r:id="rId746">
        <w:r>
          <w:rPr>
            <w:rStyle w:val="Hyperlink"/>
          </w:rPr>
          <w:t xml:space="preserve">https://hal.science/hal-04148454</w:t>
        </w:r>
      </w:hyperlink>
    </w:p>
    <w:bookmarkEnd w:id="747"/>
    <w:bookmarkStart w:id="748" w:name="ref-serres1997"/>
    <w:p>
      <w:pPr>
        <w:pStyle w:val="Bibliography"/>
      </w:pPr>
      <w:r>
        <w:t xml:space="preserve">Serres, M. (1997).</w:t>
      </w:r>
      <w:r>
        <w:t xml:space="preserve"> </w:t>
      </w:r>
      <w:r>
        <w:rPr>
          <w:iCs/>
          <w:i/>
        </w:rPr>
        <w:t xml:space="preserve">Atlas</w:t>
      </w:r>
      <w:r>
        <w:t xml:space="preserve">. Flammarion.</w:t>
      </w:r>
    </w:p>
    <w:bookmarkEnd w:id="748"/>
    <w:bookmarkStart w:id="749"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749"/>
    <w:bookmarkStart w:id="751" w:name="ref-shneiderman1998"/>
    <w:p>
      <w:pPr>
        <w:pStyle w:val="Bibliography"/>
      </w:pPr>
      <w:r>
        <w:t xml:space="preserve">Shneiderman, B. (1998). Treemaps for space-constrained visualization of hierarchies. Retrieved from</w:t>
      </w:r>
      <w:r>
        <w:t xml:space="preserve"> </w:t>
      </w:r>
      <w:hyperlink r:id="rId750">
        <w:r>
          <w:rPr>
            <w:rStyle w:val="Hyperlink"/>
          </w:rPr>
          <w:t xml:space="preserve">http://www.cs.umd.edu/hcil/treemap-history/</w:t>
        </w:r>
      </w:hyperlink>
    </w:p>
    <w:bookmarkEnd w:id="751"/>
    <w:bookmarkStart w:id="752"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752"/>
    <w:bookmarkStart w:id="754" w:name="ref-stransky2014"/>
    <w:p>
      <w:pPr>
        <w:pStyle w:val="Bibliography"/>
      </w:pPr>
      <w:r>
        <w:t xml:space="preserve">Stransky, L., &amp; Szoniecky, S. (2014). XIXe congrès de la SFSIC, Penser les techniques et les technologies. Université du Sud Toulon Var. Retrieved from</w:t>
      </w:r>
      <w:r>
        <w:t xml:space="preserve"> </w:t>
      </w:r>
      <w:hyperlink r:id="rId753">
        <w:r>
          <w:rPr>
            <w:rStyle w:val="Hyperlink"/>
          </w:rPr>
          <w:t xml:space="preserve">https://hal-univ-paris8.archives-ouvertes.fr/hal-01098436</w:t>
        </w:r>
      </w:hyperlink>
    </w:p>
    <w:bookmarkEnd w:id="754"/>
    <w:bookmarkStart w:id="756" w:name="ref-szoniecky2011"/>
    <w:p>
      <w:pPr>
        <w:pStyle w:val="Bibliography"/>
      </w:pPr>
      <w:r>
        <w:t xml:space="preserve">Szoniecky, S. (2011). Proposition d’une méthode graphique pour le filtrage des flux d’information. Bordeaux. Retrieved from</w:t>
      </w:r>
      <w:r>
        <w:t xml:space="preserve"> </w:t>
      </w:r>
      <w:hyperlink r:id="rId755">
        <w:r>
          <w:rPr>
            <w:rStyle w:val="Hyperlink"/>
          </w:rPr>
          <w:t xml:space="preserve">http://www.sfsic.org/%C3%A9v%C3%A9nements-sfsic/doctorales-2011/doctorales-2011--publication-des-actes</w:t>
        </w:r>
      </w:hyperlink>
    </w:p>
    <w:bookmarkEnd w:id="756"/>
    <w:bookmarkStart w:id="758" w:name="ref-szoniecky2012"/>
    <w:p>
      <w:pPr>
        <w:pStyle w:val="Bibliography"/>
      </w:pPr>
      <w:r>
        <w:t xml:space="preserve">Szoniecky, S. (2012,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757">
        <w:r>
          <w:rPr>
            <w:rStyle w:val="Hyperlink"/>
          </w:rPr>
          <w:t xml:space="preserve">http://tel.archives-ouvertes.fr/tel-00764457</w:t>
        </w:r>
      </w:hyperlink>
    </w:p>
    <w:bookmarkEnd w:id="758"/>
    <w:bookmarkStart w:id="759"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759"/>
    <w:bookmarkStart w:id="761"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760">
        <w:r>
          <w:rPr>
            <w:rStyle w:val="Hyperlink"/>
          </w:rPr>
          <w:t xml:space="preserve">http://europia.org/RIHM/V20N1/3-RIHM20V1-samszo.pdf</w:t>
        </w:r>
      </w:hyperlink>
    </w:p>
    <w:bookmarkEnd w:id="761"/>
    <w:bookmarkStart w:id="763"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762">
        <w:r>
          <w:rPr>
            <w:rStyle w:val="Hyperlink"/>
          </w:rPr>
          <w:t xml:space="preserve">https://www.cairn.info/revue-les-cahiers-du-numerique-2020-2-page-175.htm</w:t>
        </w:r>
      </w:hyperlink>
    </w:p>
    <w:bookmarkEnd w:id="763"/>
    <w:bookmarkStart w:id="765" w:name="ref-szoniecky"/>
    <w:p>
      <w:pPr>
        <w:pStyle w:val="Bibliography"/>
      </w:pPr>
      <w:r>
        <w:t xml:space="preserve">Szoniecky, S., Balpe, J.-P., &amp; Reyes, E. (n.d.). 2016 - Generative Stein Poems. Retrieved from</w:t>
      </w:r>
      <w:r>
        <w:t xml:space="preserve"> </w:t>
      </w:r>
      <w:hyperlink r:id="rId764">
        <w:r>
          <w:rPr>
            <w:rStyle w:val="Hyperlink"/>
          </w:rPr>
          <w:t xml:space="preserve">https://www.academia.edu/28638189/2016_-_Generative_Stein_Poems</w:t>
        </w:r>
      </w:hyperlink>
    </w:p>
    <w:bookmarkEnd w:id="765"/>
    <w:bookmarkStart w:id="766"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766"/>
    <w:bookmarkStart w:id="768"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767">
        <w:r>
          <w:rPr>
            <w:rStyle w:val="Hyperlink"/>
          </w:rPr>
          <w:t xml:space="preserve">http://lcn.revuesonline.com/article.jsp?articleId=17695</w:t>
        </w:r>
      </w:hyperlink>
    </w:p>
    <w:bookmarkEnd w:id="768"/>
    <w:bookmarkStart w:id="770" w:name="ref-szoniecky2019a"/>
    <w:p>
      <w:pPr>
        <w:pStyle w:val="Bibliography"/>
      </w:pPr>
      <w:r>
        <w:t xml:space="preserve">Szoniecky, S., &amp; Toumia, A. (2019). 4th international conference on internet of things, big data and security (pp. 399–407). Heraklion, Crete, Greece: SCITEPRESS - Science; Technology Publications. Retrieved from</w:t>
      </w:r>
      <w:r>
        <w:t xml:space="preserve"> </w:t>
      </w:r>
      <w:hyperlink r:id="rId769">
        <w:r>
          <w:rPr>
            <w:rStyle w:val="Hyperlink"/>
          </w:rPr>
          <w:t xml:space="preserve">http://www.scitepress.org/DigitalLibrary/Link.aspx?doi=10.5220/0007751703990407</w:t>
        </w:r>
      </w:hyperlink>
    </w:p>
    <w:bookmarkEnd w:id="770"/>
    <w:bookmarkStart w:id="772" w:name="ref-thiault2022"/>
    <w:p>
      <w:pPr>
        <w:pStyle w:val="Bibliography"/>
      </w:pPr>
      <w:r>
        <w:t xml:space="preserve">Thiault, F., &amp; Malingre, M.-L. (2022). 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(n°24). Retrieved from</w:t>
      </w:r>
      <w:r>
        <w:t xml:space="preserve"> </w:t>
      </w:r>
      <w:hyperlink r:id="rId771">
        <w:r>
          <w:rPr>
            <w:rStyle w:val="Hyperlink"/>
          </w:rPr>
          <w:t xml:space="preserve">https://hal.archives-ouvertes.fr/hal-03618819</w:t>
        </w:r>
      </w:hyperlink>
    </w:p>
    <w:bookmarkEnd w:id="772"/>
    <w:bookmarkStart w:id="774"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773">
        <w:r>
          <w:rPr>
            <w:rStyle w:val="Hyperlink"/>
          </w:rPr>
          <w:t xml:space="preserve">https://www.espacestemps.net/articles/pretopologie-espaces-habites/</w:t>
        </w:r>
      </w:hyperlink>
    </w:p>
    <w:bookmarkEnd w:id="774"/>
    <w:bookmarkStart w:id="775"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775"/>
    <w:bookmarkStart w:id="777"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776">
        <w:r>
          <w:rPr>
            <w:rStyle w:val="Hyperlink"/>
          </w:rPr>
          <w:t xml:space="preserve">https://doi.org/10.1145/3240117.3240134</w:t>
        </w:r>
      </w:hyperlink>
    </w:p>
    <w:bookmarkEnd w:id="777"/>
    <w:bookmarkStart w:id="778"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778"/>
    <w:bookmarkStart w:id="780" w:name="ref-vitalirosati2021"/>
    <w:p>
      <w:pPr>
        <w:pStyle w:val="Bibliography"/>
      </w:pPr>
      <w:r>
        <w:t xml:space="preserve">Vitali Rosati, M. (2021, April 4). Ce qui pourrait être autrement: IEML et les algorithmes qui pensent. Retrieved from</w:t>
      </w:r>
      <w:r>
        <w:t xml:space="preserve"> </w:t>
      </w:r>
      <w:hyperlink r:id="rId779">
        <w:r>
          <w:rPr>
            <w:rStyle w:val="Hyperlink"/>
          </w:rPr>
          <w:t xml:space="preserve">http://blog.sens-public.org/marcellovitalirosati/cequipourrait/ieml.html</w:t>
        </w:r>
      </w:hyperlink>
    </w:p>
    <w:bookmarkEnd w:id="780"/>
    <w:bookmarkStart w:id="781" w:name="ref-zamora2003"/>
    <w:p>
      <w:pPr>
        <w:pStyle w:val="Bibliography"/>
      </w:pPr>
      <w:r>
        <w:t xml:space="preserve">Zamora, J. M. (2003). La chôra après platon (pp. 16–32). Publication Univ Rouen Havre.</w:t>
      </w:r>
    </w:p>
    <w:bookmarkEnd w:id="781"/>
    <w:bookmarkStart w:id="782"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782"/>
    <w:bookmarkStart w:id="783"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783"/>
    <w:bookmarkStart w:id="784"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784"/>
    <w:bookmarkStart w:id="786"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785">
        <w:r>
          <w:rPr>
            <w:rStyle w:val="Hyperlink"/>
          </w:rPr>
          <w:t xml:space="preserve">http://journals.openedition.org/corela/4540</w:t>
        </w:r>
      </w:hyperlink>
    </w:p>
    <w:bookmarkEnd w:id="786"/>
    <w:bookmarkEnd w:id="787"/>
    <w:bookmarkEnd w:id="7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tutorial pour annoter un pdf dans Zotero :</w:t>
      </w:r>
      <w:r>
        <w:t xml:space="preserve"> </w:t>
      </w:r>
      <w:hyperlink r:id="rId33">
        <w:r>
          <w:rPr>
            <w:rStyle w:val="Hyperlink"/>
          </w:rPr>
          <w:t xml:space="preserve">https://zotero.hypotheses.org/1129</w:t>
        </w:r>
      </w:hyperlink>
    </w:p>
  </w:footnote>
  <w:footnote w:id="42">
    <w:p>
      <w:pPr>
        <w:pStyle w:val="FootnoteText"/>
      </w:pPr>
      <w:r>
        <w:rPr>
          <w:rStyle w:val="FootnoteReference"/>
        </w:rPr>
        <w:footnoteRef/>
      </w:r>
      <w:r>
        <w:t xml:space="preserve"> </w:t>
      </w:r>
      <w:r>
        <w:t xml:space="preserve">Ce chapitre reprend les éléments historiques déjà présenté dans ma thèse</w:t>
      </w:r>
      <w:r>
        <w:t xml:space="preserve"> </w:t>
      </w:r>
      <w:r>
        <w:t xml:space="preserve">(Szoniecky, 2012)</w:t>
      </w:r>
    </w:p>
  </w:footnote>
  <w:footnote w:id="49">
    <w:p>
      <w:pPr>
        <w:pStyle w:val="FootnoteText"/>
      </w:pPr>
      <w:r>
        <w:rPr>
          <w:rStyle w:val="FootnoteReference"/>
        </w:rPr>
        <w:footnoteRef/>
      </w:r>
    </w:p>
    <w:p>
      <w:pPr>
        <w:pStyle w:val="FootnoteBlockText"/>
      </w:pPr>
      <w:r>
        <w:t xml:space="preserve">https://fr.wikipedia.org/wiki/HyperCard</w:t>
      </w:r>
    </w:p>
  </w:footnote>
  <w:footnote w:id="73">
    <w:p>
      <w:pPr>
        <w:pStyle w:val="FootnoteText"/>
      </w:pPr>
      <w:r>
        <w:rPr>
          <w:rStyle w:val="FootnoteReference"/>
        </w:rPr>
        <w:footnoteRef/>
      </w:r>
      <w:r>
        <w:t xml:space="preserve"> </w:t>
      </w:r>
      <w:r>
        <w:t xml:space="preserve">Lien vers les sources du module :</w:t>
      </w:r>
      <w:r>
        <w:t xml:space="preserve"> </w:t>
      </w:r>
      <w:hyperlink r:id="rId74">
        <w:r>
          <w:rPr>
            <w:rStyle w:val="Hyperlink"/>
          </w:rPr>
          <w:t xml:space="preserve">https://github.com/samszo/Omeka-S-module-Scraping</w:t>
        </w:r>
      </w:hyperlink>
    </w:p>
  </w:footnote>
  <w:footnote w:id="75">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76">
        <w:r>
          <w:rPr>
            <w:rStyle w:val="Hyperlink"/>
          </w:rPr>
          <w:t xml:space="preserve">https://github.com/samszo/Omeka-S-module-Scraping/blob/main/data/exemples/moliereParPiece.json</w:t>
        </w:r>
      </w:hyperlink>
    </w:p>
  </w:footnote>
  <w:footnote w:id="77">
    <w:p>
      <w:pPr>
        <w:pStyle w:val="FootnoteText"/>
      </w:pPr>
      <w:r>
        <w:rPr>
          <w:rStyle w:val="FootnoteReference"/>
        </w:rPr>
        <w:footnoteRef/>
      </w:r>
      <w:r>
        <w:t xml:space="preserve"> </w:t>
      </w:r>
      <w:r>
        <w:t xml:space="preserve">Lien vers les pièces importées :</w:t>
      </w:r>
      <w:hyperlink r:id="rId78">
        <w:r>
          <w:rPr>
            <w:rStyle w:val="Hyperlink"/>
          </w:rPr>
          <w:t xml:space="preserve">http://localhost/omk_moliere/s/theatre-de-moliere/item?resource_class_id%5B%5D=1017&amp;sort_by=created&amp;sort_order=desc&amp;submit=Search</w:t>
        </w:r>
      </w:hyperlink>
    </w:p>
  </w:footnote>
  <w:footnote w:id="80">
    <w:p>
      <w:pPr>
        <w:pStyle w:val="FootnoteText"/>
      </w:pPr>
      <w:r>
        <w:rPr>
          <w:rStyle w:val="FootnoteReference"/>
        </w:rPr>
        <w:footnoteRef/>
      </w:r>
      <w:r>
        <w:t xml:space="preserve"> </w:t>
      </w:r>
      <w:r>
        <w:t xml:space="preserve">Ce paragraphe est issu du rapport final du projet</w:t>
      </w:r>
    </w:p>
  </w:footnote>
  <w:footnote w:id="137">
    <w:p>
      <w:pPr>
        <w:pStyle w:val="FootnoteText"/>
      </w:pPr>
      <w:r>
        <w:rPr>
          <w:rStyle w:val="FootnoteReference"/>
        </w:rPr>
        <w:footnoteRef/>
      </w:r>
      <w:r>
        <w:t xml:space="preserve"> </w:t>
      </w:r>
      <w:r>
        <w:t xml:space="preserve">Ce chapitre est issu de la demande de subvention CRSH</w:t>
      </w:r>
    </w:p>
  </w:footnote>
  <w:footnote w:id="142">
    <w:p>
      <w:pPr>
        <w:pStyle w:val="FootnoteText"/>
      </w:pPr>
      <w:r>
        <w:rPr>
          <w:rStyle w:val="FootnoteReference"/>
        </w:rPr>
        <w:footnoteRef/>
      </w:r>
    </w:p>
    <w:p>
      <w:pPr>
        <w:pStyle w:val="FootnoteBlockText"/>
      </w:pPr>
      <w:r>
        <w:t xml:space="preserve">Liste des newsletters : https://bit.ly/3KhDwY9</w:t>
      </w:r>
    </w:p>
  </w:footnote>
  <w:footnote w:id="143">
    <w:p>
      <w:pPr>
        <w:pStyle w:val="FootnoteText"/>
      </w:pPr>
      <w:r>
        <w:rPr>
          <w:rStyle w:val="FootnoteReference"/>
        </w:rPr>
        <w:footnoteRef/>
      </w:r>
    </w:p>
    <w:p>
      <w:pPr>
        <w:pStyle w:val="FootnoteBlockText"/>
      </w:pPr>
      <w:r>
        <w:t xml:space="preserve">Liste des forums : https://bit.ly/44KPfGX</w:t>
      </w:r>
    </w:p>
  </w:footnote>
  <w:footnote w:id="144">
    <w:p>
      <w:pPr>
        <w:pStyle w:val="FootnoteText"/>
      </w:pPr>
      <w:r>
        <w:rPr>
          <w:rStyle w:val="FootnoteReference"/>
        </w:rPr>
        <w:footnoteRef/>
      </w:r>
    </w:p>
    <w:p>
      <w:pPr>
        <w:pStyle w:val="FootnoteBlockText"/>
      </w:pPr>
      <w:r>
        <w:t xml:space="preserve">Liste des alertes : https://bit.ly/3KgkSjz</w:t>
      </w:r>
    </w:p>
  </w:footnote>
  <w:footnote w:id="145">
    <w:p>
      <w:pPr>
        <w:pStyle w:val="FootnoteText"/>
      </w:pPr>
      <w:r>
        <w:rPr>
          <w:rStyle w:val="FootnoteReference"/>
        </w:rPr>
        <w:footnoteRef/>
      </w:r>
    </w:p>
    <w:p>
      <w:pPr>
        <w:pStyle w:val="FootnoteBlockText"/>
      </w:pPr>
      <w:r>
        <w:t xml:space="preserve">Liste des flux RSS : https://bit.ly/3Yd9Z7V</w:t>
      </w:r>
    </w:p>
  </w:footnote>
  <w:footnote w:id="146">
    <w:p>
      <w:pPr>
        <w:pStyle w:val="FootnoteText"/>
      </w:pPr>
      <w:r>
        <w:rPr>
          <w:rStyle w:val="FootnoteReference"/>
        </w:rPr>
        <w:footnoteRef/>
      </w:r>
    </w:p>
    <w:p>
      <w:pPr>
        <w:pStyle w:val="FootnoteBlockText"/>
      </w:pPr>
      <w:r>
        <w:t xml:space="preserve">https://www.netvibes.com/</w:t>
      </w:r>
    </w:p>
  </w:footnote>
  <w:footnote w:id="149">
    <w:p>
      <w:pPr>
        <w:pStyle w:val="FootnoteText"/>
      </w:pPr>
      <w:r>
        <w:rPr>
          <w:rStyle w:val="FootnoteReference"/>
        </w:rPr>
        <w:footnoteRef/>
      </w:r>
    </w:p>
    <w:p>
      <w:pPr>
        <w:pStyle w:val="FootnoteBlockText"/>
      </w:pPr>
      <w:r>
        <w:t xml:space="preserve">https://www.diigo.com/index</w:t>
      </w:r>
    </w:p>
  </w:footnote>
  <w:footnote w:id="151">
    <w:p>
      <w:pPr>
        <w:pStyle w:val="FootnoteText"/>
      </w:pPr>
      <w:r>
        <w:rPr>
          <w:rStyle w:val="FootnoteReference"/>
        </w:rPr>
        <w:footnoteRef/>
      </w:r>
    </w:p>
    <w:p>
      <w:pPr>
        <w:pStyle w:val="FootnoteBlockText"/>
      </w:pPr>
      <w:r>
        <w:t xml:space="preserve">https://tutos.bu.univ-rennes2.fr/c.php?g=686436&amp;p=4906338</w:t>
      </w:r>
    </w:p>
  </w:footnote>
  <w:footnote w:id="156">
    <w:p>
      <w:pPr>
        <w:pStyle w:val="FootnoteText"/>
      </w:pPr>
      <w:r>
        <w:rPr>
          <w:rStyle w:val="FootnoteReference"/>
        </w:rPr>
        <w:footnoteRef/>
      </w:r>
    </w:p>
    <w:p>
      <w:pPr>
        <w:pStyle w:val="FootnoteBlockText"/>
      </w:pPr>
      <w:r>
        <w:t xml:space="preserve">Dépôt du projet :</w:t>
      </w:r>
      <w:r>
        <w:t xml:space="preserve"> </w:t>
      </w:r>
      <w:hyperlink r:id="rId157">
        <w:r>
          <w:rPr>
            <w:rStyle w:val="Hyperlink"/>
          </w:rPr>
          <w:t xml:space="preserve">https://gitlab.com/Daniel-KM/Omeka-S-module-BulkImport</w:t>
        </w:r>
      </w:hyperlink>
    </w:p>
  </w:footnote>
  <w:footnote w:id="158">
    <w:p>
      <w:pPr>
        <w:pStyle w:val="FootnoteText"/>
      </w:pPr>
      <w:r>
        <w:rPr>
          <w:rStyle w:val="FootnoteReference"/>
        </w:rPr>
        <w:footnoteRef/>
      </w:r>
    </w:p>
    <w:p>
      <w:pPr>
        <w:pStyle w:val="FootnoteBlockText"/>
      </w:pPr>
      <w:r>
        <w:t xml:space="preserve">Tableur d’importation des données du CV dans Omeka s :</w:t>
      </w:r>
      <w:r>
        <w:t xml:space="preserve"> </w:t>
      </w:r>
      <w:hyperlink r:id="rId159">
        <w:r>
          <w:rPr>
            <w:rStyle w:val="Hyperlink"/>
          </w:rPr>
          <w:t xml:space="preserve">https://docs.google.com/spreadsheets/d/1ap0Q6l8bK9Y8wB21xfCAk9qeJ-Gfa6XAjO-cVk2LxdI/edit?usp=sharing</w:t>
        </w:r>
      </w:hyperlink>
    </w:p>
  </w:footnote>
  <w:footnote w:id="165">
    <w:p>
      <w:pPr>
        <w:pStyle w:val="FootnoteText"/>
      </w:pPr>
      <w:r>
        <w:rPr>
          <w:rStyle w:val="FootnoteReference"/>
        </w:rPr>
        <w:footnoteRef/>
      </w:r>
    </w:p>
    <w:p>
      <w:pPr>
        <w:pStyle w:val="FootnoteBlockText"/>
      </w:pPr>
      <w:r>
        <w:t xml:space="preserve">Tableur d’importation des données GitHub dans Omeka s :</w:t>
      </w:r>
      <w:r>
        <w:t xml:space="preserve"> </w:t>
      </w:r>
      <w:hyperlink r:id="rId166">
        <w:r>
          <w:rPr>
            <w:rStyle w:val="Hyperlink"/>
          </w:rPr>
          <w:t xml:space="preserve">https://docs.google.com/spreadsheets/d/1W92NdhcMurFO96Et82MOYL43fvFrdOB6nLGF-QeCrkY/edit?usp=sharing</w:t>
        </w:r>
      </w:hyperlink>
    </w:p>
  </w:footnote>
  <w:footnote w:id="167">
    <w:p>
      <w:pPr>
        <w:pStyle w:val="FootnoteText"/>
      </w:pPr>
      <w:r>
        <w:rPr>
          <w:rStyle w:val="FootnoteReference"/>
        </w:rPr>
        <w:footnoteRef/>
      </w:r>
    </w:p>
    <w:p>
      <w:pPr>
        <w:pStyle w:val="FootnoteBlockText"/>
      </w:pPr>
      <w:r>
        <w:t xml:space="preserve">https://www.diigo.com/user/luckysemiosis</w:t>
      </w:r>
    </w:p>
  </w:footnote>
  <w:footnote w:id="168">
    <w:p>
      <w:pPr>
        <w:pStyle w:val="FootnoteText"/>
      </w:pPr>
      <w:r>
        <w:rPr>
          <w:rStyle w:val="FootnoteReference"/>
        </w:rPr>
        <w:footnoteRef/>
      </w:r>
    </w:p>
    <w:p>
      <w:pPr>
        <w:pStyle w:val="FootnoteBlockText"/>
      </w:pPr>
      <w:r>
        <w:t xml:space="preserve">https://samszo.univ-paris8.fr/omk/api/items?item_set_id=1&amp;item_set_id=4</w:t>
      </w:r>
    </w:p>
  </w:footnote>
  <w:footnote w:id="172">
    <w:p>
      <w:pPr>
        <w:pStyle w:val="FootnoteText"/>
      </w:pPr>
      <w:r>
        <w:rPr>
          <w:rStyle w:val="FootnoteReference"/>
        </w:rPr>
        <w:footnoteRef/>
      </w:r>
      <w:r>
        <w:t xml:space="preserve"> </w:t>
      </w:r>
      <w:r>
        <w:t xml:space="preserve">L’ensemble de ces données sont accessibles via l’API de Omeka S sous un format RDF-JSON utilisé pour l’interopérabilité entre les machines mais aussi via des représentations dédiées à la navigation à l’intérieur de cet écosystème.</w:t>
      </w:r>
    </w:p>
  </w:footnote>
  <w:footnote w:id="173">
    <w:p>
      <w:pPr>
        <w:pStyle w:val="FootnoteText"/>
      </w:pPr>
      <w:r>
        <w:rPr>
          <w:rStyle w:val="FootnoteReference"/>
        </w:rPr>
        <w:footnoteRef/>
      </w:r>
    </w:p>
    <w:p>
      <w:pPr>
        <w:pStyle w:val="FootnoteBlockText"/>
      </w:pPr>
      <w:r>
        <w:t xml:space="preserve">Les données de ce graphique et d’autres statistiques sont disponibles ici : &lt;omkStats.html&gt;</w:t>
      </w:r>
    </w:p>
  </w:footnote>
  <w:footnote w:id="178">
    <w:p>
      <w:pPr>
        <w:pStyle w:val="FootnoteText"/>
      </w:pPr>
      <w:r>
        <w:rPr>
          <w:rStyle w:val="FootnoteReference"/>
        </w:rPr>
        <w:footnoteRef/>
      </w:r>
    </w:p>
    <w:p>
      <w:pPr>
        <w:pStyle w:val="FootnoteBlockText"/>
      </w:pPr>
      <w:r>
        <w:t xml:space="preserve">Liste complète des pages Web :</w:t>
      </w:r>
      <w:r>
        <w:t xml:space="preserve"> </w:t>
      </w:r>
      <w:hyperlink r:id="rId179">
        <w:r>
          <w:rPr>
            <w:rStyle w:val="Hyperlink"/>
          </w:rPr>
          <w:t xml:space="preserve">https://bit.ly/3Qj1NRm</w:t>
        </w:r>
      </w:hyperlink>
    </w:p>
  </w:footnote>
  <w:footnote w:id="190">
    <w:p>
      <w:pPr>
        <w:pStyle w:val="FootnoteText"/>
      </w:pPr>
      <w:r>
        <w:rPr>
          <w:rStyle w:val="FootnoteReference"/>
        </w:rPr>
        <w:footnoteRef/>
      </w:r>
      <w:r>
        <w:t xml:space="preserve"> </w:t>
      </w:r>
      <w:r>
        <w:t xml:space="preserve">Nous avons adapté ce diagramme proposé originalement par</w:t>
      </w:r>
      <w:r>
        <w:t xml:space="preserve"> </w:t>
      </w:r>
      <w:hyperlink r:id="rId191">
        <w:r>
          <w:rPr>
            <w:rStyle w:val="Hyperlink"/>
          </w:rPr>
          <w:t xml:space="preserve">Huyen Nguyen</w:t>
        </w:r>
      </w:hyperlink>
      <w:r>
        <w:t xml:space="preserve"> </w:t>
      </w:r>
      <w:hyperlink r:id="rId192">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193">
        <w:r>
          <w:rPr>
            <w:rStyle w:val="Hyperlink"/>
          </w:rPr>
          <w:t xml:space="preserve">https://github.com/samszo/HDR/blob/main/docs/modules/streamWords.js</w:t>
        </w:r>
      </w:hyperlink>
    </w:p>
  </w:footnote>
  <w:footnote w:id="194">
    <w:p>
      <w:pPr>
        <w:pStyle w:val="FootnoteText"/>
      </w:pPr>
      <w:r>
        <w:rPr>
          <w:rStyle w:val="FootnoteReference"/>
        </w:rPr>
        <w:footnoteRef/>
      </w:r>
      <w:r>
        <w:t xml:space="preserve"> </w:t>
      </w:r>
      <w:r>
        <w:t xml:space="preserve">Les données de calcul sont accessibles ici :</w:t>
      </w:r>
      <w:r>
        <w:t xml:space="preserve"> </w:t>
      </w:r>
      <w:hyperlink r:id="rId195">
        <w:r>
          <w:rPr>
            <w:rStyle w:val="Hyperlink"/>
          </w:rPr>
          <w:t xml:space="preserve">http://localhost/samszo/omk/s/cartoaffect/page/ajax?json=1&amp;helper=JDC&amp;action=getStream&amp;id=61225</w:t>
        </w:r>
      </w:hyperlink>
    </w:p>
  </w:footnote>
  <w:footnote w:id="196">
    <w:p>
      <w:pPr>
        <w:pStyle w:val="FootnoteText"/>
      </w:pPr>
      <w:r>
        <w:rPr>
          <w:rStyle w:val="FootnoteReference"/>
        </w:rPr>
        <w:footnoteRef/>
      </w:r>
      <w:r>
        <w:t xml:space="preserve"> </w:t>
      </w:r>
      <w:r>
        <w:t xml:space="preserve">l’algorithme de classification est disponible ici :</w:t>
      </w:r>
      <w:r>
        <w:t xml:space="preserve"> </w:t>
      </w:r>
      <w:hyperlink r:id="rId197">
        <w:r>
          <w:rPr>
            <w:rStyle w:val="Hyperlink"/>
          </w:rPr>
          <w:t xml:space="preserve">https://github.com/samszo/Omeka-S-module-JDC/blob/master/src/View/Helper/JDCViewHelper.php#L234</w:t>
        </w:r>
      </w:hyperlink>
    </w:p>
  </w:footnote>
  <w:footnote w:id="207">
    <w:p>
      <w:pPr>
        <w:pStyle w:val="FootnoteText"/>
      </w:pPr>
      <w:r>
        <w:rPr>
          <w:rStyle w:val="FootnoteReference"/>
        </w:rPr>
        <w:footnoteRef/>
      </w:r>
      <w:r>
        <w:t xml:space="preserve"> </w:t>
      </w:r>
      <w:r>
        <w:t xml:space="preserve">lien vers le site :</w:t>
      </w:r>
      <w:r>
        <w:t xml:space="preserve"> </w:t>
      </w:r>
      <w:hyperlink r:id="rId208">
        <w:r>
          <w:rPr>
            <w:rStyle w:val="Hyperlink"/>
          </w:rPr>
          <w:t xml:space="preserve">https://eur-artec.fr/</w:t>
        </w:r>
      </w:hyperlink>
    </w:p>
  </w:footnote>
  <w:footnote w:id="209">
    <w:p>
      <w:pPr>
        <w:pStyle w:val="FootnoteText"/>
      </w:pPr>
      <w:r>
        <w:rPr>
          <w:rStyle w:val="FootnoteReference"/>
        </w:rPr>
        <w:footnoteRef/>
      </w:r>
      <w:r>
        <w:t xml:space="preserve"> </w:t>
      </w:r>
      <w:r>
        <w:t xml:space="preserve">lien vers le site :</w:t>
      </w:r>
      <w:r>
        <w:t xml:space="preserve"> </w:t>
      </w:r>
      <w:hyperlink r:id="rId210">
        <w:r>
          <w:rPr>
            <w:rStyle w:val="Hyperlink"/>
          </w:rPr>
          <w:t xml:space="preserve">https://erua-eui.eu/</w:t>
        </w:r>
      </w:hyperlink>
    </w:p>
  </w:footnote>
  <w:footnote w:id="237">
    <w:p>
      <w:pPr>
        <w:pStyle w:val="FootnoteText"/>
      </w:pPr>
      <w:r>
        <w:rPr>
          <w:rStyle w:val="FootnoteReference"/>
        </w:rPr>
        <w:footnoteRef/>
      </w:r>
    </w:p>
    <w:p>
      <w:pPr>
        <w:pStyle w:val="FootnoteBlockText"/>
      </w:pPr>
      <w:r>
        <w:t xml:space="preserve">cf. </w:t>
      </w:r>
      <w:hyperlink r:id="rId238">
        <w:r>
          <w:rPr>
            <w:rStyle w:val="Hyperlink"/>
          </w:rPr>
          <w:t xml:space="preserve">https://samszo.univ-paris8.fr/conf_errance/cours_systeme-information-programation-internet/slide.html?diapo=5</w:t>
        </w:r>
      </w:hyperlink>
    </w:p>
  </w:footnote>
  <w:footnote w:id="243">
    <w:p>
      <w:pPr>
        <w:pStyle w:val="FootnoteText"/>
      </w:pPr>
      <w:r>
        <w:rPr>
          <w:rStyle w:val="FootnoteReference"/>
        </w:rPr>
        <w:footnoteRef/>
      </w:r>
    </w:p>
    <w:p>
      <w:pPr>
        <w:pStyle w:val="FootnoteBlockText"/>
      </w:pPr>
      <w:r>
        <w:t xml:space="preserve">disponibles sur notre forge logicielle :</w:t>
      </w:r>
      <w:r>
        <w:t xml:space="preserve"> </w:t>
      </w:r>
      <w:hyperlink r:id="rId244">
        <w:r>
          <w:rPr>
            <w:rStyle w:val="Hyperlink"/>
          </w:rPr>
          <w:t xml:space="preserve">https://github.com/samszo</w:t>
        </w:r>
      </w:hyperlink>
    </w:p>
  </w:footnote>
  <w:footnote w:id="245">
    <w:p>
      <w:pPr>
        <w:pStyle w:val="FootnoteText"/>
      </w:pPr>
      <w:r>
        <w:rPr>
          <w:rStyle w:val="FootnoteReference"/>
        </w:rPr>
        <w:footnoteRef/>
      </w:r>
    </w:p>
    <w:p>
      <w:pPr>
        <w:pStyle w:val="FootnoteBlockText"/>
      </w:pPr>
      <w:hyperlink r:id="rId246">
        <w:r>
          <w:rPr>
            <w:rStyle w:val="Hyperlink"/>
          </w:rPr>
          <w:t xml:space="preserve">https://omeka.org/s/</w:t>
        </w:r>
      </w:hyperlink>
    </w:p>
  </w:footnote>
  <w:footnote w:id="247">
    <w:p>
      <w:pPr>
        <w:pStyle w:val="FootnoteText"/>
      </w:pPr>
      <w:r>
        <w:rPr>
          <w:rStyle w:val="FootnoteReference"/>
        </w:rPr>
        <w:footnoteRef/>
      </w:r>
    </w:p>
    <w:p>
      <w:pPr>
        <w:pStyle w:val="FootnoteBlockText"/>
      </w:pPr>
      <w:hyperlink r:id="rId248">
        <w:r>
          <w:rPr>
            <w:rStyle w:val="Hyperlink"/>
          </w:rPr>
          <w:t xml:space="preserve">https://www.w3.org/egov/wiki/Linked_Open_Data</w:t>
        </w:r>
      </w:hyperlink>
    </w:p>
  </w:footnote>
  <w:footnote w:id="249">
    <w:p>
      <w:pPr>
        <w:pStyle w:val="FootnoteText"/>
      </w:pPr>
      <w:r>
        <w:rPr>
          <w:rStyle w:val="FootnoteReference"/>
        </w:rPr>
        <w:footnoteRef/>
      </w:r>
    </w:p>
    <w:p>
      <w:pPr>
        <w:pStyle w:val="FootnoteBlockText"/>
      </w:pPr>
      <w:r>
        <w:t xml:space="preserve">Lien vers l’API Omeka S des données de ce travail :</w:t>
      </w:r>
      <w:r>
        <w:t xml:space="preserve"> </w:t>
      </w:r>
      <w:hyperlink r:id="rId250">
        <w:r>
          <w:rPr>
            <w:rStyle w:val="Hyperlink"/>
          </w:rPr>
          <w:t xml:space="preserve">https://samszo.univ-paris8.fr/omk/api</w:t>
        </w:r>
      </w:hyperlink>
    </w:p>
  </w:footnote>
  <w:footnote w:id="251">
    <w:p>
      <w:pPr>
        <w:pStyle w:val="FootnoteText"/>
      </w:pPr>
      <w:r>
        <w:rPr>
          <w:rStyle w:val="FootnoteReference"/>
        </w:rPr>
        <w:footnoteRef/>
      </w:r>
    </w:p>
    <w:p>
      <w:pPr>
        <w:pStyle w:val="FootnoteBlockText"/>
      </w:pPr>
      <w:r>
        <w:t xml:space="preserve">le vocubulaire au format rdf turtle :</w:t>
      </w:r>
      <w:r>
        <w:t xml:space="preserve"> </w:t>
      </w:r>
      <w:hyperlink r:id="rId252">
        <w:r>
          <w:rPr>
            <w:rStyle w:val="Hyperlink"/>
          </w:rPr>
          <w:t xml:space="preserve">https://raw.githubusercontent.com/samszo/Omeka-S-module-JDC/master/data/vocabularies/jdc.ttl</w:t>
        </w:r>
      </w:hyperlink>
    </w:p>
  </w:footnote>
  <w:footnote w:id="253">
    <w:p>
      <w:pPr>
        <w:pStyle w:val="FootnoteText"/>
      </w:pPr>
      <w:r>
        <w:rPr>
          <w:rStyle w:val="FootnoteReference"/>
        </w:rPr>
        <w:footnoteRef/>
      </w:r>
    </w:p>
    <w:p>
      <w:pPr>
        <w:pStyle w:val="FootnoteBlockText"/>
      </w:pPr>
      <w:r>
        <w:t xml:space="preserve">le vocubulaire au format rdf turtle :</w:t>
      </w:r>
      <w:r>
        <w:t xml:space="preserve"> </w:t>
      </w:r>
      <w:hyperlink r:id="rId254">
        <w:r>
          <w:rPr>
            <w:rStyle w:val="Hyperlink"/>
          </w:rPr>
          <w:t xml:space="preserve">https://raw.githubusercontent.com/samszo/Omeka-S-module-JDC/master/data/vocabularies/fup8.ttl</w:t>
        </w:r>
      </w:hyperlink>
    </w:p>
  </w:footnote>
  <w:footnote w:id="255">
    <w:p>
      <w:pPr>
        <w:pStyle w:val="FootnoteText"/>
      </w:pPr>
      <w:r>
        <w:rPr>
          <w:rStyle w:val="FootnoteReference"/>
        </w:rPr>
        <w:footnoteRef/>
      </w:r>
    </w:p>
    <w:p>
      <w:pPr>
        <w:pStyle w:val="FootnoteBlockText"/>
      </w:pPr>
      <w:r>
        <w:t xml:space="preserve">la liste exhaustive est ici :</w:t>
      </w:r>
      <w:r>
        <w:t xml:space="preserve"> </w:t>
      </w:r>
      <w:hyperlink r:id="rId256">
        <w:r>
          <w:rPr>
            <w:rStyle w:val="Hyperlink"/>
          </w:rPr>
          <w:t xml:space="preserve">https://samszo.univ-paris8.fr/omk/api/resource_templates</w:t>
        </w:r>
      </w:hyperlink>
    </w:p>
  </w:footnote>
  <w:footnote w:id="257">
    <w:p>
      <w:pPr>
        <w:pStyle w:val="FootnoteText"/>
      </w:pPr>
      <w:r>
        <w:rPr>
          <w:rStyle w:val="FootnoteReference"/>
        </w:rPr>
        <w:footnoteRef/>
      </w:r>
    </w:p>
    <w:p>
      <w:pPr>
        <w:pStyle w:val="FootnoteBlockText"/>
      </w:pPr>
      <w:r>
        <w:t xml:space="preserve">Dépôt du projet :</w:t>
      </w:r>
      <w:r>
        <w:t xml:space="preserve"> </w:t>
      </w:r>
      <w:hyperlink r:id="rId258">
        <w:r>
          <w:rPr>
            <w:rStyle w:val="Hyperlink"/>
          </w:rPr>
          <w:t xml:space="preserve">https://github.com/samszo/Omeka-S-module-DiigoImport</w:t>
        </w:r>
      </w:hyperlink>
    </w:p>
  </w:footnote>
  <w:footnote w:id="259">
    <w:p>
      <w:pPr>
        <w:pStyle w:val="FootnoteText"/>
      </w:pPr>
      <w:r>
        <w:rPr>
          <w:rStyle w:val="FootnoteReference"/>
        </w:rPr>
        <w:footnoteRef/>
      </w:r>
    </w:p>
    <w:p>
      <w:pPr>
        <w:pStyle w:val="FootnoteBlockText"/>
      </w:pPr>
      <w:r>
        <w:t xml:space="preserve">Dépôt du projet :</w:t>
      </w:r>
      <w:r>
        <w:t xml:space="preserve"> </w:t>
      </w:r>
      <w:hyperlink r:id="rId260">
        <w:r>
          <w:rPr>
            <w:rStyle w:val="Hyperlink"/>
          </w:rPr>
          <w:t xml:space="preserve">https://github.com/samszo/ZoteroImportPlus</w:t>
        </w:r>
      </w:hyperlink>
    </w:p>
  </w:footnote>
  <w:footnote w:id="261">
    <w:p>
      <w:pPr>
        <w:pStyle w:val="FootnoteText"/>
      </w:pPr>
      <w:r>
        <w:rPr>
          <w:rStyle w:val="FootnoteReference"/>
        </w:rPr>
        <w:footnoteRef/>
      </w:r>
    </w:p>
    <w:p>
      <w:pPr>
        <w:pStyle w:val="FootnoteBlockText"/>
      </w:pPr>
      <w:r>
        <w:t xml:space="preserve">Dépôt du projet :</w:t>
      </w:r>
      <w:r>
        <w:t xml:space="preserve"> </w:t>
      </w:r>
      <w:hyperlink r:id="rId262">
        <w:r>
          <w:rPr>
            <w:rStyle w:val="Hyperlink"/>
          </w:rPr>
          <w:t xml:space="preserve">https://github.com/samszo/Omeka-S-module-JDC</w:t>
        </w:r>
      </w:hyperlink>
    </w:p>
  </w:footnote>
  <w:footnote w:id="263">
    <w:p>
      <w:pPr>
        <w:pStyle w:val="FootnoteText"/>
      </w:pPr>
      <w:r>
        <w:rPr>
          <w:rStyle w:val="FootnoteReference"/>
        </w:rPr>
        <w:footnoteRef/>
      </w:r>
    </w:p>
    <w:p>
      <w:pPr>
        <w:pStyle w:val="FootnoteBlockText"/>
      </w:pPr>
      <w:r>
        <w:t xml:space="preserve">Dépôt du projet :</w:t>
      </w:r>
      <w:r>
        <w:t xml:space="preserve"> </w:t>
      </w:r>
      <w:hyperlink r:id="rId264">
        <w:r>
          <w:rPr>
            <w:rStyle w:val="Hyperlink"/>
          </w:rPr>
          <w:t xml:space="preserve">https://github.com/samszo/Omeka-S-module-CartoAffect</w:t>
        </w:r>
      </w:hyperlink>
    </w:p>
  </w:footnote>
  <w:footnote w:id="278">
    <w:p>
      <w:pPr>
        <w:pStyle w:val="FootnoteText"/>
      </w:pPr>
      <w:r>
        <w:rPr>
          <w:rStyle w:val="FootnoteReference"/>
        </w:rPr>
        <w:footnoteRef/>
      </w:r>
    </w:p>
    <w:p>
      <w:pPr>
        <w:pStyle w:val="FootnoteBlockText"/>
      </w:pPr>
      <w:hyperlink r:id="rId279">
        <w:r>
          <w:rPr>
            <w:rStyle w:val="Hyperlink"/>
          </w:rPr>
          <w:t xml:space="preserve">https://developer.mozilla.org/en-US/docs/Web/SVG</w:t>
        </w:r>
      </w:hyperlink>
    </w:p>
  </w:footnote>
  <w:footnote w:id="280">
    <w:p>
      <w:pPr>
        <w:pStyle w:val="FootnoteText"/>
      </w:pPr>
      <w:r>
        <w:rPr>
          <w:rStyle w:val="FootnoteReference"/>
        </w:rPr>
        <w:footnoteRef/>
      </w:r>
    </w:p>
    <w:p>
      <w:pPr>
        <w:pStyle w:val="FootnoteBlockText"/>
      </w:pPr>
      <w:hyperlink r:id="rId281">
        <w:r>
          <w:rPr>
            <w:rStyle w:val="Hyperlink"/>
          </w:rPr>
          <w:t xml:space="preserve">https://observablehq.com/@d3/gallery?utm_source=d3js-org&amp;utm_medium=hero&amp;utm_campaign=try-observable#maps</w:t>
        </w:r>
      </w:hyperlink>
    </w:p>
  </w:footnote>
  <w:footnote w:id="284">
    <w:p>
      <w:pPr>
        <w:pStyle w:val="FootnoteText"/>
      </w:pPr>
      <w:r>
        <w:rPr>
          <w:rStyle w:val="FootnoteReference"/>
        </w:rPr>
        <w:footnoteRef/>
      </w:r>
    </w:p>
    <w:p>
      <w:pPr>
        <w:pStyle w:val="FootnoteBlockText"/>
      </w:pPr>
      <w:hyperlink r:id="rId285">
        <w:r>
          <w:rPr>
            <w:rStyle w:val="Hyperlink"/>
          </w:rPr>
          <w:t xml:space="preserve">https://www.diigo.com/user/luckysemiosis?query=%23spatiotempo</w:t>
        </w:r>
      </w:hyperlink>
    </w:p>
  </w:footnote>
  <w:footnote w:id="286">
    <w:p>
      <w:pPr>
        <w:pStyle w:val="FootnoteText"/>
      </w:pPr>
      <w:r>
        <w:rPr>
          <w:rStyle w:val="FootnoteReference"/>
        </w:rPr>
        <w:footnoteRef/>
      </w:r>
    </w:p>
    <w:p>
      <w:pPr>
        <w:pStyle w:val="FootnoteBlockText"/>
      </w:pPr>
      <w:hyperlink r:id="rId287">
        <w:r>
          <w:rPr>
            <w:rStyle w:val="Hyperlink"/>
          </w:rPr>
          <w:t xml:space="preserve">https://github.com/d3/d3-geo-projection</w:t>
        </w:r>
      </w:hyperlink>
    </w:p>
  </w:footnote>
  <w:footnote w:id="301">
    <w:p>
      <w:pPr>
        <w:pStyle w:val="FootnoteText"/>
      </w:pPr>
      <w:r>
        <w:rPr>
          <w:rStyle w:val="FootnoteReference"/>
        </w:rPr>
        <w:footnoteRef/>
      </w:r>
    </w:p>
    <w:p>
      <w:pPr>
        <w:pStyle w:val="FootnoteBlockText"/>
      </w:pPr>
      <w:hyperlink r:id="rId302">
        <w:r>
          <w:rPr>
            <w:rStyle w:val="Hyperlink"/>
          </w:rPr>
          <w:t xml:space="preserve">https://leafletjs.com/</w:t>
        </w:r>
      </w:hyperlink>
    </w:p>
  </w:footnote>
  <w:footnote w:id="303">
    <w:p>
      <w:pPr>
        <w:pStyle w:val="FootnoteText"/>
      </w:pPr>
      <w:r>
        <w:rPr>
          <w:rStyle w:val="FootnoteReference"/>
        </w:rPr>
        <w:footnoteRef/>
      </w:r>
    </w:p>
    <w:p>
      <w:pPr>
        <w:pStyle w:val="FootnoteBlockText"/>
      </w:pPr>
      <w:hyperlink r:id="rId304">
        <w:r>
          <w:rPr>
            <w:rStyle w:val="Hyperlink"/>
          </w:rPr>
          <w:t xml:space="preserve">https://fr.wikipedia.org/wiki/GeoJSON</w:t>
        </w:r>
      </w:hyperlink>
    </w:p>
  </w:footnote>
  <w:footnote w:id="305">
    <w:p>
      <w:pPr>
        <w:pStyle w:val="FootnoteText"/>
      </w:pPr>
      <w:r>
        <w:rPr>
          <w:rStyle w:val="FootnoteReference"/>
        </w:rPr>
        <w:footnoteRef/>
      </w:r>
    </w:p>
    <w:p>
      <w:pPr>
        <w:pStyle w:val="FootnoteBlockText"/>
      </w:pPr>
      <w:hyperlink r:id="rId306">
        <w:r>
          <w:rPr>
            <w:rStyle w:val="Hyperlink"/>
          </w:rPr>
          <w:t xml:space="preserve">https://samszo.github.io/StatsHAL/world.html?q=Samuel%20Szoniecky</w:t>
        </w:r>
      </w:hyperlink>
    </w:p>
  </w:footnote>
  <w:footnote w:id="312">
    <w:p>
      <w:pPr>
        <w:pStyle w:val="FootnoteText"/>
      </w:pPr>
      <w:r>
        <w:rPr>
          <w:rStyle w:val="FootnoteReference"/>
        </w:rPr>
        <w:footnoteRef/>
      </w:r>
    </w:p>
    <w:p>
      <w:pPr>
        <w:pStyle w:val="FootnoteBlockText"/>
      </w:pPr>
      <w:hyperlink r:id="rId313">
        <w:r>
          <w:rPr>
            <w:rStyle w:val="Hyperlink"/>
          </w:rPr>
          <w:t xml:space="preserve">https://bit.ly/3r9ROUa</w:t>
        </w:r>
      </w:hyperlink>
    </w:p>
  </w:footnote>
  <w:footnote w:id="318">
    <w:p>
      <w:pPr>
        <w:pStyle w:val="FootnoteText"/>
      </w:pPr>
      <w:r>
        <w:rPr>
          <w:rStyle w:val="FootnoteReference"/>
        </w:rPr>
        <w:footnoteRef/>
      </w:r>
    </w:p>
    <w:p>
      <w:pPr>
        <w:pStyle w:val="FootnoteBlockText"/>
      </w:pPr>
      <w:r>
        <w:t xml:space="preserve">Visualisation conçue à partir du modules Omeka S timeline (https://gitlab.com/Daniel-KM/Omeka-S-module-Timeline) que nous avons adapté à nos besoins.</w:t>
      </w:r>
    </w:p>
  </w:footnote>
  <w:footnote w:id="319">
    <w:p>
      <w:pPr>
        <w:pStyle w:val="FootnoteText"/>
      </w:pPr>
      <w:r>
        <w:rPr>
          <w:rStyle w:val="FootnoteReference"/>
        </w:rPr>
        <w:footnoteRef/>
      </w:r>
    </w:p>
    <w:p>
      <w:pPr>
        <w:pStyle w:val="FootnoteBlockText"/>
      </w:pPr>
      <w:hyperlink r:id="rId320">
        <w:r>
          <w:rPr>
            <w:rStyle w:val="Hyperlink"/>
          </w:rPr>
          <w:t xml:space="preserve">https://spinoza.fr/les-genres-de-connaissance-extrait-du-cours-de-gilles-deleuze/</w:t>
        </w:r>
      </w:hyperlink>
    </w:p>
  </w:footnote>
  <w:footnote w:id="335">
    <w:p>
      <w:pPr>
        <w:pStyle w:val="FootnoteText"/>
      </w:pPr>
      <w:r>
        <w:rPr>
          <w:rStyle w:val="FootnoteReference"/>
        </w:rPr>
        <w:footnoteRef/>
      </w:r>
    </w:p>
    <w:p>
      <w:pPr>
        <w:pStyle w:val="FootnoteBlockText"/>
      </w:pPr>
      <w:r>
        <w:t xml:space="preserve">Précisons toutefois que l’humain est particulière efficace pour la paréidolie</w:t>
      </w:r>
      <w:r>
        <w:t xml:space="preserve"> </w:t>
      </w:r>
      <w:r>
        <w:t xml:space="preserve">(</w:t>
      </w:r>
      <w:r>
        <w:rPr>
          <w:bCs/>
          <w:b/>
        </w:rPr>
        <w:t xml:space="preserve">Dufort2015?</w:t>
      </w:r>
      <w:r>
        <w:t xml:space="preserve">)</w:t>
      </w:r>
      <w:r>
        <w:t xml:space="preserve">, ce qui lui permet de donner du sens à des formes ambiguës et donc de créer des signifiés quelles que soient les parties extensives qu’il discerne.</w:t>
      </w:r>
    </w:p>
  </w:footnote>
  <w:footnote w:id="344">
    <w:p>
      <w:pPr>
        <w:pStyle w:val="FootnoteText"/>
      </w:pPr>
      <w:r>
        <w:rPr>
          <w:rStyle w:val="FootnoteReference"/>
        </w:rPr>
        <w:footnoteRef/>
      </w:r>
    </w:p>
    <w:p>
      <w:pPr>
        <w:pStyle w:val="FootnoteBlockText"/>
      </w:pPr>
      <w:r>
        <w:t xml:space="preserve">https://d3js.org/d3-hierarchy/treemap</w:t>
      </w:r>
    </w:p>
  </w:footnote>
  <w:footnote w:id="354">
    <w:p>
      <w:pPr>
        <w:pStyle w:val="FootnoteText"/>
      </w:pPr>
      <w:r>
        <w:rPr>
          <w:rStyle w:val="FootnoteReference"/>
        </w:rPr>
        <w:footnoteRef/>
      </w:r>
    </w:p>
    <w:p>
      <w:pPr>
        <w:pStyle w:val="FootnoteBlockText"/>
      </w:pPr>
      <w:r>
        <w:t xml:space="preserve">Le chiffre correspond au nombre d’adresse définie dans le dictionnaire IEML à la date du 25/01/2023. Ce travail toujours entrain de se faire est consultable ici : https://github.com/plevyieml/ieml-language/</w:t>
      </w:r>
    </w:p>
  </w:footnote>
  <w:footnote w:id="355">
    <w:p>
      <w:pPr>
        <w:pStyle w:val="FootnoteText"/>
      </w:pPr>
      <w:r>
        <w:rPr>
          <w:rStyle w:val="FootnoteReference"/>
        </w:rPr>
        <w:footnoteRef/>
      </w:r>
    </w:p>
    <w:p>
      <w:pPr>
        <w:pStyle w:val="FootnoteBlockText"/>
      </w:pPr>
      <w:r>
        <w:t xml:space="preserve">L’éditeur IEML était accessible (https://dev.intlekt.io/) mais n’est plus accessible</w:t>
      </w:r>
    </w:p>
  </w:footnote>
  <w:footnote w:id="356">
    <w:p>
      <w:pPr>
        <w:pStyle w:val="FootnoteText"/>
      </w:pPr>
      <w:r>
        <w:rPr>
          <w:rStyle w:val="FootnoteReference"/>
        </w:rPr>
        <w:footnoteRef/>
      </w:r>
    </w:p>
    <w:p>
      <w:pPr>
        <w:pStyle w:val="FootnoteBlockText"/>
      </w:pPr>
      <w:r>
        <w:t xml:space="preserve">Pour un historique rapide des différentes implémentations : https://intlekt.io/histoire/</w:t>
      </w:r>
    </w:p>
  </w:footnote>
  <w:footnote w:id="359">
    <w:p>
      <w:pPr>
        <w:pStyle w:val="FootnoteText"/>
      </w:pPr>
      <w:r>
        <w:rPr>
          <w:rStyle w:val="FootnoteReference"/>
        </w:rPr>
        <w:footnoteRef/>
      </w:r>
    </w:p>
    <w:p>
      <w:pPr>
        <w:pStyle w:val="FootnoteBlockText"/>
      </w:pPr>
      <w:r>
        <w:t xml:space="preserve">Pour une explication des grilles hexagonales :</w:t>
      </w:r>
      <w:r>
        <w:t xml:space="preserve"> </w:t>
      </w:r>
      <w:hyperlink r:id="rId360">
        <w:r>
          <w:rPr>
            <w:rStyle w:val="Hyperlink"/>
          </w:rPr>
          <w:t xml:space="preserve">https://www.redblobgames.com/grids/hexagons/</w:t>
        </w:r>
      </w:hyperlink>
      <w:r>
        <w:br/>
      </w:r>
      <w:r>
        <w:t xml:space="preserve">Pour une proposition d’implémentation algorithmique :</w:t>
      </w:r>
      <w:r>
        <w:t xml:space="preserve"> </w:t>
      </w:r>
      <w:hyperlink r:id="rId361">
        <w:r>
          <w:rPr>
            <w:rStyle w:val="Hyperlink"/>
          </w:rPr>
          <w:t xml:space="preserve">https://www.redblobgames.com/grids/hexagons/implementation.html</w:t>
        </w:r>
      </w:hyperlink>
    </w:p>
  </w:footnote>
  <w:footnote w:id="362">
    <w:p>
      <w:pPr>
        <w:pStyle w:val="FootnoteText"/>
      </w:pPr>
      <w:r>
        <w:rPr>
          <w:rStyle w:val="FootnoteReference"/>
        </w:rPr>
        <w:footnoteRef/>
      </w:r>
    </w:p>
    <w:p>
      <w:pPr>
        <w:pStyle w:val="FootnoteBlockText"/>
      </w:pPr>
      <w:r>
        <w:t xml:space="preserve">Le code est accessible ici :</w:t>
      </w:r>
      <w:r>
        <w:t xml:space="preserve"> </w:t>
      </w:r>
      <w:hyperlink r:id="rId363">
        <w:r>
          <w:rPr>
            <w:rStyle w:val="Hyperlink"/>
          </w:rPr>
          <w:t xml:space="preserve">https://github.com/samszo/HDR/docs/jdcCartoHexa.html</w:t>
        </w:r>
      </w:hyperlink>
    </w:p>
  </w:footnote>
  <w:footnote w:id="368">
    <w:p>
      <w:pPr>
        <w:pStyle w:val="FootnoteText"/>
      </w:pPr>
      <w:r>
        <w:rPr>
          <w:rStyle w:val="FootnoteReference"/>
        </w:rPr>
        <w:footnoteRef/>
      </w:r>
    </w:p>
    <w:p>
      <w:pPr>
        <w:pStyle w:val="FootnoteBlockText"/>
      </w:pPr>
      <w:r>
        <w:t xml:space="preserve">Pour une présentation des relations sémantiques dans SKOS :</w:t>
      </w:r>
      <w:r>
        <w:t xml:space="preserve"> </w:t>
      </w:r>
      <w:hyperlink r:id="rId369">
        <w:r>
          <w:rPr>
            <w:rStyle w:val="Hyperlink"/>
          </w:rPr>
          <w:t xml:space="preserve">https://www.w3.org/TR/skos-reference/#semantic-relations/</w:t>
        </w:r>
      </w:hyperlink>
    </w:p>
  </w:footnote>
  <w:footnote w:id="414">
    <w:p>
      <w:pPr>
        <w:pStyle w:val="FootnoteText"/>
      </w:pPr>
      <w:r>
        <w:rPr>
          <w:rStyle w:val="FootnoteReference"/>
        </w:rPr>
        <w:footnoteRef/>
      </w:r>
    </w:p>
    <w:p>
      <w:pPr>
        <w:pStyle w:val="FootnoteBlockText"/>
      </w:pPr>
      <w:r>
        <w:t xml:space="preserve">cf. </w:t>
      </w:r>
      <w:hyperlink r:id="rId415">
        <w:r>
          <w:rPr>
            <w:rStyle w:val="Hyperlink"/>
          </w:rPr>
          <w:t xml:space="preserve">http://www.openannotation.org/</w:t>
        </w:r>
      </w:hyperlink>
    </w:p>
  </w:footnote>
  <w:footnote w:id="424">
    <w:p>
      <w:pPr>
        <w:pStyle w:val="FootnoteText"/>
      </w:pPr>
      <w:r>
        <w:rPr>
          <w:rStyle w:val="FootnoteReference"/>
        </w:rPr>
        <w:footnoteRef/>
      </w:r>
    </w:p>
    <w:p>
      <w:pPr>
        <w:pStyle w:val="FootnoteBlockText"/>
      </w:pPr>
      <w:r>
        <w:t xml:space="preserve">Accessible ici :</w:t>
      </w:r>
      <w:r>
        <w:t xml:space="preserve"> </w:t>
      </w:r>
      <w:hyperlink r:id="rId425">
        <w:r>
          <w:rPr>
            <w:rStyle w:val="Hyperlink"/>
          </w:rPr>
          <w:t xml:space="preserve">https://gitlab.com/Daniel-KM/Omeka-S-module-Annotate</w:t>
        </w:r>
      </w:hyperlink>
    </w:p>
  </w:footnote>
  <w:footnote w:id="431">
    <w:p>
      <w:pPr>
        <w:pStyle w:val="FootnoteText"/>
      </w:pPr>
      <w:r>
        <w:rPr>
          <w:rStyle w:val="FootnoteReference"/>
        </w:rPr>
        <w:footnoteRef/>
      </w:r>
      <w:r>
        <w:t xml:space="preserve"> </w:t>
      </w:r>
      <w:r>
        <w:t xml:space="preserve">Ce chapitre reprend en les modifiant les chapitres consacrés au crible dans</w:t>
      </w:r>
      <w:r>
        <w:t xml:space="preserve"> </w:t>
      </w:r>
      <w:r>
        <w:t xml:space="preserve">(Szoniecky, 2020)</w:t>
      </w:r>
    </w:p>
  </w:footnote>
  <w:footnote w:id="435">
    <w:p>
      <w:pPr>
        <w:pStyle w:val="FootnoteText"/>
      </w:pPr>
      <w:r>
        <w:rPr>
          <w:rStyle w:val="FootnoteReference"/>
        </w:rPr>
        <w:footnoteRef/>
      </w:r>
      <w:r>
        <w:t xml:space="preserve"> </w:t>
      </w:r>
      <w:r>
        <w:t xml:space="preserve">lien vers le diagramme :</w:t>
      </w:r>
      <w:r>
        <w:t xml:space="preserve"> </w:t>
      </w:r>
      <w:hyperlink r:id="rId436">
        <w:r>
          <w:rPr>
            <w:rStyle w:val="Hyperlink"/>
          </w:rPr>
          <w:t xml:space="preserve">https://informationisbeautiful.net/visualizations/a-taxonomy-of-ideas/</w:t>
        </w:r>
      </w:hyperlink>
    </w:p>
  </w:footnote>
  <w:footnote w:id="442">
    <w:p>
      <w:pPr>
        <w:pStyle w:val="FootnoteText"/>
      </w:pPr>
      <w:r>
        <w:rPr>
          <w:rStyle w:val="FootnoteReference"/>
        </w:rPr>
        <w:footnoteRef/>
      </w:r>
      <w:r>
        <w:t xml:space="preserve"> </w:t>
      </w:r>
      <w:r>
        <w:t xml:space="preserve">lien vers le site de l’organisation :</w:t>
      </w:r>
      <w:r>
        <w:t xml:space="preserve"> </w:t>
      </w:r>
      <w:hyperlink r:id="rId443">
        <w:r>
          <w:rPr>
            <w:rStyle w:val="Hyperlink"/>
          </w:rPr>
          <w:t xml:space="preserve">https://isni.org/</w:t>
        </w:r>
      </w:hyperlink>
    </w:p>
  </w:footnote>
  <w:footnote w:id="444">
    <w:p>
      <w:pPr>
        <w:pStyle w:val="FootnoteText"/>
      </w:pPr>
      <w:r>
        <w:rPr>
          <w:rStyle w:val="FootnoteReference"/>
        </w:rPr>
        <w:footnoteRef/>
      </w:r>
      <w:r>
        <w:t xml:space="preserve"> </w:t>
      </w:r>
      <w:r>
        <w:t xml:space="preserve">lien vers les explications de la CNIL :</w:t>
      </w:r>
      <w:r>
        <w:t xml:space="preserve"> </w:t>
      </w:r>
      <w:hyperlink r:id="rId445">
        <w:r>
          <w:rPr>
            <w:rStyle w:val="Hyperlink"/>
          </w:rPr>
          <w:t xml:space="preserve">https://www.cnil.fr/fr/les-bases-legales/consentement</w:t>
        </w:r>
      </w:hyperlink>
    </w:p>
  </w:footnote>
  <w:footnote w:id="446">
    <w:p>
      <w:pPr>
        <w:pStyle w:val="FootnoteText"/>
      </w:pPr>
      <w:r>
        <w:rPr>
          <w:rStyle w:val="FootnoteReference"/>
        </w:rPr>
        <w:footnoteRef/>
      </w:r>
      <w:r>
        <w:t xml:space="preserve"> </w:t>
      </w:r>
      <w:r>
        <w:t xml:space="preserve">lien vers l’explication de data.bnf.fr :</w:t>
      </w:r>
      <w:r>
        <w:t xml:space="preserve"> </w:t>
      </w:r>
      <w:hyperlink r:id="rId447">
        <w:r>
          <w:rPr>
            <w:rStyle w:val="Hyperlink"/>
          </w:rPr>
          <w:t xml:space="preserve">https://www.bnf.fr/fr/recuperer-les-donnees-de-la-bnf-selon-les-standards-du-web-semantique</w:t>
        </w:r>
      </w:hyperlink>
    </w:p>
  </w:footnote>
  <w:footnote w:id="450">
    <w:p>
      <w:pPr>
        <w:pStyle w:val="FootnoteText"/>
      </w:pPr>
      <w:r>
        <w:rPr>
          <w:rStyle w:val="FootnoteReference"/>
        </w:rPr>
        <w:footnoteRef/>
      </w:r>
    </w:p>
    <w:p>
      <w:pPr>
        <w:pStyle w:val="FootnoteBlockText"/>
      </w:pPr>
      <w:hyperlink r:id="rId451">
        <w:r>
          <w:rPr>
            <w:rStyle w:val="Hyperlink"/>
          </w:rPr>
          <w:t xml:space="preserve">https://www.w3.org/RDF/</w:t>
        </w:r>
      </w:hyperlink>
    </w:p>
  </w:footnote>
  <w:footnote w:id="483">
    <w:p>
      <w:pPr>
        <w:pStyle w:val="FootnoteText"/>
      </w:pPr>
      <w:r>
        <w:rPr>
          <w:rStyle w:val="FootnoteReference"/>
        </w:rPr>
        <w:footnoteRef/>
      </w:r>
      <w:r>
        <w:t xml:space="preserve"> </w:t>
      </w:r>
      <w:r>
        <w:t xml:space="preserve">Lien vers les sources du module :</w:t>
      </w:r>
      <w:r>
        <w:t xml:space="preserve"> </w:t>
      </w:r>
      <w:hyperlink r:id="rId74">
        <w:r>
          <w:rPr>
            <w:rStyle w:val="Hyperlink"/>
          </w:rPr>
          <w:t xml:space="preserve">https://github.com/samszo/Omeka-S-module-Scraping</w:t>
        </w:r>
      </w:hyperlink>
    </w:p>
  </w:footnote>
  <w:footnote w:id="484">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76">
        <w:r>
          <w:rPr>
            <w:rStyle w:val="Hyperlink"/>
          </w:rPr>
          <w:t xml:space="preserve">https://github.com/samszo/Omeka-S-module-Scraping/blob/main/data/exemples/moliereParPiece.json</w:t>
        </w:r>
      </w:hyperlink>
    </w:p>
  </w:footnote>
  <w:footnote w:id="485">
    <w:p>
      <w:pPr>
        <w:pStyle w:val="FootnoteText"/>
      </w:pPr>
      <w:r>
        <w:rPr>
          <w:rStyle w:val="FootnoteReference"/>
        </w:rPr>
        <w:footnoteRef/>
      </w:r>
      <w:r>
        <w:t xml:space="preserve"> </w:t>
      </w:r>
      <w:r>
        <w:t xml:space="preserve">Lien vers les pièces importées :</w:t>
      </w:r>
      <w:hyperlink r:id="rId78">
        <w:r>
          <w:rPr>
            <w:rStyle w:val="Hyperlink"/>
          </w:rPr>
          <w:t xml:space="preserve">http://localhost/omk_moliere/s/theatre-de-moliere/item?resource_class_id%5B%5D=1017&amp;sort_by=created&amp;sort_order=desc&amp;submit=Search</w:t>
        </w:r>
      </w:hyperlink>
    </w:p>
  </w:footnote>
  <w:footnote w:id="497">
    <w:p>
      <w:pPr>
        <w:pStyle w:val="FootnoteText"/>
      </w:pPr>
      <w:r>
        <w:rPr>
          <w:rStyle w:val="FootnoteReference"/>
        </w:rPr>
        <w:footnoteRef/>
      </w:r>
    </w:p>
    <w:p>
      <w:pPr>
        <w:pStyle w:val="FootnoteBlockText"/>
      </w:pPr>
      <w:r>
        <w:t xml:space="preserve">Nous ne présenterons pas ici les relations de ce travail avec les recherches en informatique théorique sur la complexité algorithmique (Perrot, 2022)</w:t>
      </w:r>
    </w:p>
  </w:footnote>
  <w:footnote w:id="498">
    <w:p>
      <w:pPr>
        <w:pStyle w:val="FootnoteText"/>
      </w:pPr>
      <w:r>
        <w:rPr>
          <w:rStyle w:val="FootnoteReference"/>
        </w:rPr>
        <w:footnoteRef/>
      </w:r>
    </w:p>
    <w:p>
      <w:pPr>
        <w:pStyle w:val="FootnoteBlockText"/>
      </w:pPr>
      <w:r>
        <w:t xml:space="preserve">Cette algorithme est utilisable directement avec une API pour un petit nombre d’élément ou avec un « Writer » pour le module Bulk Export développé par Daniel Bertherau (https://gitlab.com/Daniel-KM/Omeka-S-module-BulkExport). Le code de l’algorithme est disponible ici :</w:t>
      </w:r>
      <w:r>
        <w:t xml:space="preserve"> </w:t>
      </w:r>
      <w:hyperlink r:id="rId499">
        <w:r>
          <w:rPr>
            <w:rStyle w:val="Hyperlink"/>
          </w:rPr>
          <w:t xml:space="preserve">https://github.com/samszo/Omeka-S-module-JDC/blob/master/src/View/Helper/JDCViewHelper.php#L169</w:t>
        </w:r>
      </w:hyperlink>
      <w:r>
        <w:br/>
      </w:r>
      <w:r>
        <w:t xml:space="preserve">le writer ici :https://github.com/samszo/Omeka-S-module-JDC/blob/master/src/Writer/AbstractComplexityWriter.php</w:t>
      </w:r>
    </w:p>
  </w:footnote>
  <w:footnote w:id="500">
    <w:p>
      <w:pPr>
        <w:pStyle w:val="FootnoteText"/>
      </w:pPr>
      <w:r>
        <w:rPr>
          <w:rStyle w:val="FootnoteReference"/>
        </w:rPr>
        <w:footnoteRef/>
      </w:r>
    </w:p>
    <w:p>
      <w:pPr>
        <w:pStyle w:val="FootnoteBlockText"/>
      </w:pPr>
      <w:r>
        <w:t xml:space="preserve">La liste des correspondance est disponible ici : https://github.com/samszo/Omeka-S-module-JDC/blob/master/src/View/Helper/JDCViewHelper.php#L39</w:t>
      </w:r>
    </w:p>
  </w:footnote>
  <w:footnote w:id="501">
    <w:p>
      <w:pPr>
        <w:pStyle w:val="FootnoteText"/>
      </w:pPr>
      <w:r>
        <w:rPr>
          <w:rStyle w:val="FootnoteReference"/>
        </w:rPr>
        <w:footnoteRef/>
      </w:r>
    </w:p>
    <w:p>
      <w:pPr>
        <w:pStyle w:val="FootnoteBlockText"/>
      </w:pPr>
      <w:r>
        <w:t xml:space="preserve">Cette information n’est présente que dans les calculs via l’API mais pas avec le module Export</w:t>
      </w:r>
    </w:p>
  </w:footnote>
  <w:footnote w:id="502">
    <w:p>
      <w:pPr>
        <w:pStyle w:val="FootnoteText"/>
      </w:pPr>
      <w:r>
        <w:rPr>
          <w:rStyle w:val="FootnoteReference"/>
        </w:rPr>
        <w:footnoteRef/>
      </w:r>
    </w:p>
    <w:p>
      <w:pPr>
        <w:pStyle w:val="FootnoteBlockText"/>
      </w:pPr>
      <w:r>
        <w:t xml:space="preserve">Cette information n’est présente que pour les ressource de niveau 1 dans les calculs via l’API mais pas avec le module Export</w:t>
      </w:r>
    </w:p>
  </w:footnote>
  <w:footnote w:id="557">
    <w:p>
      <w:pPr>
        <w:pStyle w:val="FootnoteText"/>
      </w:pPr>
      <w:r>
        <w:rPr>
          <w:rStyle w:val="FootnoteReference"/>
        </w:rPr>
        <w:footnoteRef/>
      </w:r>
    </w:p>
    <w:p>
      <w:pPr>
        <w:pStyle w:val="FootnoteBlockText"/>
      </w:pPr>
      <w:r>
        <w:t xml:space="preserve">Tableur d’importation des données du CV dans Omeka s :</w:t>
      </w:r>
      <w:r>
        <w:t xml:space="preserve"> </w:t>
      </w:r>
      <w:hyperlink r:id="rId159">
        <w:r>
          <w:rPr>
            <w:rStyle w:val="Hyperlink"/>
          </w:rPr>
          <w:t xml:space="preserve">https://docs.google.com/spreadsheets/d/1ap0Q6l8bK9Y8wB21xfCAk9qeJ-Gfa6XAjO-cVk2LxdI/edit?usp=sharing</w:t>
        </w:r>
      </w:hyperlink>
    </w:p>
  </w:footnote>
  <w:footnote w:id="558">
    <w:p>
      <w:pPr>
        <w:pStyle w:val="FootnoteText"/>
      </w:pPr>
      <w:r>
        <w:rPr>
          <w:rStyle w:val="FootnoteReference"/>
        </w:rPr>
        <w:footnoteRef/>
      </w:r>
    </w:p>
    <w:p>
      <w:pPr>
        <w:pStyle w:val="FootnoteBlockText"/>
      </w:pPr>
      <w:r>
        <w:t xml:space="preserve">Tableur d’importation des données GitHub dans Omeka s :</w:t>
      </w:r>
      <w:r>
        <w:t xml:space="preserve"> </w:t>
      </w:r>
      <w:hyperlink r:id="rId166">
        <w:r>
          <w:rPr>
            <w:rStyle w:val="Hyperlink"/>
          </w:rPr>
          <w:t xml:space="preserve">https://docs.google.com/spreadsheets/d/1W92NdhcMurFO96Et82MOYL43fvFrdOB6nLGF-QeCrkY/edit?usp=sharing</w:t>
        </w:r>
      </w:hyperlink>
    </w:p>
  </w:footnote>
  <w:footnote w:id="579">
    <w:p>
      <w:pPr>
        <w:pStyle w:val="FootnoteText"/>
      </w:pPr>
      <w:r>
        <w:rPr>
          <w:rStyle w:val="FootnoteReference"/>
        </w:rPr>
        <w:footnoteRef/>
      </w:r>
    </w:p>
    <w:p>
      <w:pPr>
        <w:pStyle w:val="FootnoteBlockText"/>
      </w:pPr>
      <w:r>
        <w:t xml:space="preserve">https://tools.digitalmethods.net/beta/githubUserMeta/#</w:t>
      </w:r>
    </w:p>
  </w:footnote>
  <w:footnote w:id="580">
    <w:p>
      <w:pPr>
        <w:pStyle w:val="FootnoteText"/>
      </w:pPr>
      <w:r>
        <w:rPr>
          <w:rStyle w:val="FootnoteReference"/>
        </w:rPr>
        <w:footnoteRef/>
      </w:r>
    </w:p>
    <w:p>
      <w:pPr>
        <w:pStyle w:val="FootnoteBlockText"/>
      </w:pPr>
      <w:r>
        <w:t xml:space="preserve">https://tools.digitalmethods.net/beta/github/</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6" Target="media/rId376.jpg" /><Relationship Type="http://schemas.openxmlformats.org/officeDocument/2006/relationships/image" Id="rId98" Target="media/rId98.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491" Target="media/rId491.jpg" /><Relationship Type="http://schemas.openxmlformats.org/officeDocument/2006/relationships/image" Id="rId410" Target="media/rId410.png" /><Relationship Type="http://schemas.openxmlformats.org/officeDocument/2006/relationships/image" Id="rId437" Target="media/rId437.png" /><Relationship Type="http://schemas.openxmlformats.org/officeDocument/2006/relationships/image" Id="rId385" Target="media/rId385.svg" /><Relationship Type="http://schemas.openxmlformats.org/officeDocument/2006/relationships/image" Id="rId380" Target="media/rId380.svg" /><Relationship Type="http://schemas.openxmlformats.org/officeDocument/2006/relationships/image" Id="rId394" Target="media/rId394.svg" /><Relationship Type="http://schemas.openxmlformats.org/officeDocument/2006/relationships/image" Id="rId399" Target="media/rId399.svg" /><Relationship Type="http://schemas.openxmlformats.org/officeDocument/2006/relationships/image" Id="rId404" Target="media/rId404.svg" /><Relationship Type="http://schemas.openxmlformats.org/officeDocument/2006/relationships/image" Id="rId221" Target="media/rId221.jpg" /><Relationship Type="http://schemas.openxmlformats.org/officeDocument/2006/relationships/image" Id="rId420" Target="media/rId420.png" /><Relationship Type="http://schemas.openxmlformats.org/officeDocument/2006/relationships/image" Id="rId390" Target="media/rId390.png" /><Relationship Type="http://schemas.openxmlformats.org/officeDocument/2006/relationships/image" Id="rId81" Target="media/rId81.png" /><Relationship Type="http://schemas.openxmlformats.org/officeDocument/2006/relationships/image" Id="rId364" Target="media/rId364.png" /><Relationship Type="http://schemas.openxmlformats.org/officeDocument/2006/relationships/image" Id="rId370" Target="media/rId370.png" /><Relationship Type="http://schemas.openxmlformats.org/officeDocument/2006/relationships/image" Id="rId216" Target="media/rId216.png" /><Relationship Type="http://schemas.openxmlformats.org/officeDocument/2006/relationships/image" Id="rId211" Target="media/rId211.png" /><Relationship Type="http://schemas.openxmlformats.org/officeDocument/2006/relationships/image" Id="rId202" Target="media/rId202.png" /><Relationship Type="http://schemas.openxmlformats.org/officeDocument/2006/relationships/image" Id="rId198" Target="media/rId198.png" /><Relationship Type="http://schemas.openxmlformats.org/officeDocument/2006/relationships/image" Id="rId184" Target="media/rId184.png" /><Relationship Type="http://schemas.openxmlformats.org/officeDocument/2006/relationships/image" Id="rId505" Target="media/rId505.png" /><Relationship Type="http://schemas.openxmlformats.org/officeDocument/2006/relationships/image" Id="rId426" Target="media/rId426.png" /><Relationship Type="http://schemas.openxmlformats.org/officeDocument/2006/relationships/image" Id="rId233" Target="media/rId233.png" /><Relationship Type="http://schemas.openxmlformats.org/officeDocument/2006/relationships/image" Id="rId70" Target="media/rId70.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15" Target="media/rId115.png" /><Relationship Type="http://schemas.openxmlformats.org/officeDocument/2006/relationships/image" Id="rId432" Target="media/rId432.png" /><Relationship Type="http://schemas.openxmlformats.org/officeDocument/2006/relationships/image" Id="rId59" Target="media/rId59.png" /><Relationship Type="http://schemas.openxmlformats.org/officeDocument/2006/relationships/image" Id="rId350" Target="media/rId350.jp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288" Target="media/rId288.png" /><Relationship Type="http://schemas.openxmlformats.org/officeDocument/2006/relationships/image" Id="rId336" Target="media/rId336.png" /><Relationship Type="http://schemas.openxmlformats.org/officeDocument/2006/relationships/image" Id="rId160" Target="media/rId160.png" /><Relationship Type="http://schemas.openxmlformats.org/officeDocument/2006/relationships/image" Id="rId331" Target="media/rId331.png" /><Relationship Type="http://schemas.openxmlformats.org/officeDocument/2006/relationships/image" Id="rId180" Target="media/rId180.png" /><Relationship Type="http://schemas.openxmlformats.org/officeDocument/2006/relationships/image" Id="rId174" Target="media/rId174.png" /><Relationship Type="http://schemas.openxmlformats.org/officeDocument/2006/relationships/image" Id="rId452" Target="media/rId452.png" /><Relationship Type="http://schemas.openxmlformats.org/officeDocument/2006/relationships/image" Id="rId50" Target="media/rId50.png" /><Relationship Type="http://schemas.openxmlformats.org/officeDocument/2006/relationships/image" Id="rId416" Target="media/rId416.png" /><Relationship Type="http://schemas.openxmlformats.org/officeDocument/2006/relationships/image" Id="rId323" Target="media/rId323.png" /><Relationship Type="http://schemas.openxmlformats.org/officeDocument/2006/relationships/image" Id="rId340" Target="media/rId340.png" /><Relationship Type="http://schemas.openxmlformats.org/officeDocument/2006/relationships/image" Id="rId327" Target="media/rId327.png" /><Relationship Type="http://schemas.openxmlformats.org/officeDocument/2006/relationships/image" Id="rId307" Target="media/rId307.png" /><Relationship Type="http://schemas.openxmlformats.org/officeDocument/2006/relationships/image" Id="rId152" Target="media/rId152.png" /><Relationship Type="http://schemas.openxmlformats.org/officeDocument/2006/relationships/image" Id="rId229" Target="media/rId229.png" /><Relationship Type="http://schemas.openxmlformats.org/officeDocument/2006/relationships/image" Id="rId543" Target="media/rId543.png" /><Relationship Type="http://schemas.openxmlformats.org/officeDocument/2006/relationships/image" Id="rId314" Target="media/rId314.png" /><Relationship Type="http://schemas.openxmlformats.org/officeDocument/2006/relationships/image" Id="rId345" Target="media/rId345.png" /><Relationship Type="http://schemas.openxmlformats.org/officeDocument/2006/relationships/image" Id="rId512" Target="media/rId512.png" /><Relationship Type="http://schemas.openxmlformats.org/officeDocument/2006/relationships/image" Id="rId559" Target="media/rId559.png" /><Relationship Type="http://schemas.openxmlformats.org/officeDocument/2006/relationships/image" Id="rId239" Target="media/rId239.png" /><Relationship Type="http://schemas.openxmlformats.org/officeDocument/2006/relationships/image" Id="rId266" Target="media/rId266.svg" /><Relationship Type="http://schemas.openxmlformats.org/officeDocument/2006/relationships/image" Id="rId272" Target="media/rId272.sv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383" Target="media/rId383.png" /><Relationship Type="http://schemas.openxmlformats.org/officeDocument/2006/relationships/image" Id="rId388" Target="media/rId388.pn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07" Target="media/rId407.png" /><Relationship Type="http://schemas.openxmlformats.org/officeDocument/2006/relationships/hyperlink" Id="rId695"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41" Target="http://archivesic.ccsd.cnrs.fr/sic_00713487" TargetMode="External" /><Relationship Type="http://schemas.openxmlformats.org/officeDocument/2006/relationships/hyperlink" Id="rId779" Target="http://blog.sens-public.org/marcellovitalirosati/cequipourrait/ieml.html" TargetMode="External" /><Relationship Type="http://schemas.openxmlformats.org/officeDocument/2006/relationships/hyperlink" Id="rId656" Target="http://books.openedition.org/pufc/13838" TargetMode="External" /><Relationship Type="http://schemas.openxmlformats.org/officeDocument/2006/relationships/hyperlink" Id="rId700" Target="http://dcevents.dublincore.org/IntConf/dc-2011/paper/view/69" TargetMode="External" /><Relationship Type="http://schemas.openxmlformats.org/officeDocument/2006/relationships/hyperlink" Id="rId760" Target="http://europia.org/RIHM/V20N1/3-RIHM20V1-samszo.pdf" TargetMode="External" /><Relationship Type="http://schemas.openxmlformats.org/officeDocument/2006/relationships/hyperlink" Id="rId670" Target="http://id.erudit.org/iderudit/014932ar" TargetMode="External" /><Relationship Type="http://schemas.openxmlformats.org/officeDocument/2006/relationships/hyperlink" Id="rId528" Target="http://intelligibilite-numerique.numerev.com/numeros/n-3-2022/2629-ingenierie-semiotique-et-modelisation-diagrammatique-au-dela-du-modele-de-turing" TargetMode="External" /><Relationship Type="http://schemas.openxmlformats.org/officeDocument/2006/relationships/hyperlink" Id="rId785" Target="http://journals.openedition.org/corela/4540" TargetMode="External" /><Relationship Type="http://schemas.openxmlformats.org/officeDocument/2006/relationships/hyperlink" Id="rId628" Target="http://journals.openedition.org/questionsdecommunication/10442" TargetMode="External" /><Relationship Type="http://schemas.openxmlformats.org/officeDocument/2006/relationships/hyperlink" Id="rId736" Target="http://journals.openedition.org/rac/2554" TargetMode="External" /><Relationship Type="http://schemas.openxmlformats.org/officeDocument/2006/relationships/hyperlink" Id="rId767" Target="http://lcn.revuesonline.com/article.jsp?articleId=17695" TargetMode="External" /><Relationship Type="http://schemas.openxmlformats.org/officeDocument/2006/relationships/hyperlink" Id="rId78" Target="http://localhost/omk_moliere/s/theatre-de-moliere/item?resource_class_id%5B%5D=1017&amp;sort_by=created&amp;sort_order=desc&amp;submit=Search" TargetMode="External" /><Relationship Type="http://schemas.openxmlformats.org/officeDocument/2006/relationships/hyperlink" Id="rId219" Target="http://localhost/samszo/HDR/docs/jdcStream.html?cat=annotations" TargetMode="External" /><Relationship Type="http://schemas.openxmlformats.org/officeDocument/2006/relationships/hyperlink" Id="rId214" Target="http://localhost/samszo/HDR/docs/jdcStream.html?cat=projets" TargetMode="External" /><Relationship Type="http://schemas.openxmlformats.org/officeDocument/2006/relationships/hyperlink" Id="rId205" Target="http://localhost/samszo/HDR/docs/jdcStream.html?cat=publications" TargetMode="External" /><Relationship Type="http://schemas.openxmlformats.org/officeDocument/2006/relationships/hyperlink" Id="rId195" Target="http://localhost/samszo/omk/s/cartoaffect/page/ajax?json=1&amp;helper=JDC&amp;action=getStream&amp;id=61225" TargetMode="External" /><Relationship Type="http://schemas.openxmlformats.org/officeDocument/2006/relationships/hyperlink" Id="rId44" Target="http://localhost/samszo/omk/s/fiches/item/299342" TargetMode="External" /><Relationship Type="http://schemas.openxmlformats.org/officeDocument/2006/relationships/hyperlink" Id="rId43" Target="http://localhost/samszo/omk/s/fiches/item/299343" TargetMode="External" /><Relationship Type="http://schemas.openxmlformats.org/officeDocument/2006/relationships/hyperlink" Id="rId57" Target="http://localhost/samszo/omk/s/fiches/item/299601" TargetMode="External" /><Relationship Type="http://schemas.openxmlformats.org/officeDocument/2006/relationships/hyperlink" Id="rId58" Target="http://localhost/samszo/omk/s/fiches/item/300716" TargetMode="External" /><Relationship Type="http://schemas.openxmlformats.org/officeDocument/2006/relationships/hyperlink" Id="rId56" Target="http://localhost/samszo/omk/s/fiches/item/300719" TargetMode="External" /><Relationship Type="http://schemas.openxmlformats.org/officeDocument/2006/relationships/hyperlink" Id="rId47" Target="http://localhost/samszo/omk/s/fiches/item/541197" TargetMode="External" /><Relationship Type="http://schemas.openxmlformats.org/officeDocument/2006/relationships/hyperlink" Id="rId48" Target="http://localhost/samszo/omk/s/fiches/item/541243" TargetMode="External" /><Relationship Type="http://schemas.openxmlformats.org/officeDocument/2006/relationships/hyperlink" Id="rId45" Target="http://localhost/samszo/omk/s/fiches/item/61108" TargetMode="External" /><Relationship Type="http://schemas.openxmlformats.org/officeDocument/2006/relationships/hyperlink" Id="rId55" Target="http://localhost/samszo/omk/s/fiches/item/61148" TargetMode="External" /><Relationship Type="http://schemas.openxmlformats.org/officeDocument/2006/relationships/hyperlink" Id="rId54" Target="http://localhost/samszo/omk/s/fiches/item/61153" TargetMode="External" /><Relationship Type="http://schemas.openxmlformats.org/officeDocument/2006/relationships/hyperlink" Id="rId46" Target="http://localhost/samszo/omk/s/fiches/item/61970" TargetMode="External" /><Relationship Type="http://schemas.openxmlformats.org/officeDocument/2006/relationships/hyperlink" Id="rId757" Target="http://tel.archives-ouvertes.fr/tel-00764457" TargetMode="External" /><Relationship Type="http://schemas.openxmlformats.org/officeDocument/2006/relationships/hyperlink" Id="rId675" Target="http://terminal.revues.org/1227" TargetMode="External" /><Relationship Type="http://schemas.openxmlformats.org/officeDocument/2006/relationships/hyperlink" Id="rId707" Target="http://www.bruno-latour.fr/sites/default/files/98-SOURIAU-FR.pdf" TargetMode="External" /><Relationship Type="http://schemas.openxmlformats.org/officeDocument/2006/relationships/hyperlink" Id="rId620" Target="http://www.cairn.info/article.php?ID_ARTICLE=DOCSI_484_0024" TargetMode="External" /><Relationship Type="http://schemas.openxmlformats.org/officeDocument/2006/relationships/hyperlink" Id="rId750" Target="http://www.cs.umd.edu/hcil/treemap-history/" TargetMode="External" /><Relationship Type="http://schemas.openxmlformats.org/officeDocument/2006/relationships/hyperlink" Id="rId650" Target="http://www.lesateliersderennes.fr/sites/default/files/media/cequivientdenous.pdf" TargetMode="External" /><Relationship Type="http://schemas.openxmlformats.org/officeDocument/2006/relationships/hyperlink" Id="rId415" Target="http://www.openannotation.org/" TargetMode="External" /><Relationship Type="http://schemas.openxmlformats.org/officeDocument/2006/relationships/hyperlink" Id="rId769" Target="http://www.scitepress.org/DigitalLibrary/Link.aspx?doi=10.5220/0007751703990407" TargetMode="External" /><Relationship Type="http://schemas.openxmlformats.org/officeDocument/2006/relationships/hyperlink" Id="rId755" Target="http://www.sfsic.org/%C3%A9v%C3%A9nements-sfsic/doctorales-2011/doctorales-2011--publication-des-actes" TargetMode="External" /><Relationship Type="http://schemas.openxmlformats.org/officeDocument/2006/relationships/hyperlink" Id="rId663" Target="http://www2.univ-paris8.fr/deleuze/article.php3?id_article=151" TargetMode="External" /><Relationship Type="http://schemas.openxmlformats.org/officeDocument/2006/relationships/hyperlink" Id="rId712" Target="https://ai.meta.com/blog/yann-lecun-advances-in-ai-research/" TargetMode="External" /><Relationship Type="http://schemas.openxmlformats.org/officeDocument/2006/relationships/hyperlink" Id="rId179" Target="https://bit.ly/3Qj1NRm" TargetMode="External" /><Relationship Type="http://schemas.openxmlformats.org/officeDocument/2006/relationships/hyperlink" Id="rId313" Target="https://bit.ly/3r9ROUa" TargetMode="External" /><Relationship Type="http://schemas.openxmlformats.org/officeDocument/2006/relationships/hyperlink" Id="rId739" Target="https://bnf.hypotheses.org/12976" TargetMode="External" /><Relationship Type="http://schemas.openxmlformats.org/officeDocument/2006/relationships/hyperlink" Id="rId276" Target="https://commons.wikimedia.org/wiki/File:Rectangular_coordinates.svg" TargetMode="External" /><Relationship Type="http://schemas.openxmlformats.org/officeDocument/2006/relationships/hyperlink" Id="rId270" Target="https://commons.wikimedia.org/wiki/File:Rovinna_kartezska_soustava_souradnic.svg" TargetMode="External" /><Relationship Type="http://schemas.openxmlformats.org/officeDocument/2006/relationships/hyperlink" Id="rId279" Target="https://developer.mozilla.org/en-US/docs/Web/SVG" TargetMode="External" /><Relationship Type="http://schemas.openxmlformats.org/officeDocument/2006/relationships/hyperlink" Id="rId616"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166" Target="https://docs.google.com/spreadsheets/d/1W92NdhcMurFO96Et82MOYL43fvFrdOB6nLGF-QeCrkY/edit?usp=sharing" TargetMode="External" /><Relationship Type="http://schemas.openxmlformats.org/officeDocument/2006/relationships/hyperlink" Id="rId159" Target="https://docs.google.com/spreadsheets/d/1ap0Q6l8bK9Y8wB21xfCAk9qeJ-Gfa6XAjO-cVk2LxdI/edit?usp=sharing" TargetMode="External" /><Relationship Type="http://schemas.openxmlformats.org/officeDocument/2006/relationships/hyperlink" Id="rId776" Target="https://doi.org/10.1145/3240117.3240134" TargetMode="External" /><Relationship Type="http://schemas.openxmlformats.org/officeDocument/2006/relationships/hyperlink" Id="rId551" Target="https://doi.org/10.25965/interfaces-numeriques.386" TargetMode="External" /><Relationship Type="http://schemas.openxmlformats.org/officeDocument/2006/relationships/hyperlink" Id="rId535" Target="https://doi.org/10.3917/rdes.097.0158" TargetMode="External" /><Relationship Type="http://schemas.openxmlformats.org/officeDocument/2006/relationships/hyperlink" Id="rId210" Target="https://erua-eui.eu/" TargetMode="External" /><Relationship Type="http://schemas.openxmlformats.org/officeDocument/2006/relationships/hyperlink" Id="rId208" Target="https://eur-artec.fr/" TargetMode="External" /><Relationship Type="http://schemas.openxmlformats.org/officeDocument/2006/relationships/hyperlink" Id="rId304" Target="https://fr.wikipedia.org/wiki/GeoJSON" TargetMode="External" /><Relationship Type="http://schemas.openxmlformats.org/officeDocument/2006/relationships/hyperlink" Id="rId626" Target="https://gephi.org/publications/gephi-bastian-feb09.pdf" TargetMode="External" /><Relationship Type="http://schemas.openxmlformats.org/officeDocument/2006/relationships/hyperlink" Id="rId287" Target="https://github.com/d3/d3-geo-projection" TargetMode="External" /><Relationship Type="http://schemas.openxmlformats.org/officeDocument/2006/relationships/hyperlink" Id="rId191" Target="https://github.com/huyen-nguyen" TargetMode="External" /><Relationship Type="http://schemas.openxmlformats.org/officeDocument/2006/relationships/hyperlink" Id="rId192" Target="https://github.com/iDataVisualizationLab/WordStream" TargetMode="External" /><Relationship Type="http://schemas.openxmlformats.org/officeDocument/2006/relationships/hyperlink" Id="rId244" Target="https://github.com/samszo" TargetMode="External" /><Relationship Type="http://schemas.openxmlformats.org/officeDocument/2006/relationships/hyperlink" Id="rId577" Target="https://github.com/samszo/ChaoticumSeminario" TargetMode="External" /><Relationship Type="http://schemas.openxmlformats.org/officeDocument/2006/relationships/hyperlink" Id="rId193" Target="https://github.com/samszo/HDR/blob/main/docs/modules/streamWords.js" TargetMode="External" /><Relationship Type="http://schemas.openxmlformats.org/officeDocument/2006/relationships/hyperlink" Id="rId363" Target="https://github.com/samszo/HDR/docs/jdcCartoHexa.html" TargetMode="External" /><Relationship Type="http://schemas.openxmlformats.org/officeDocument/2006/relationships/hyperlink" Id="rId264" Target="https://github.com/samszo/Omeka-S-module-CartoAffect" TargetMode="External" /><Relationship Type="http://schemas.openxmlformats.org/officeDocument/2006/relationships/hyperlink" Id="rId258" Target="https://github.com/samszo/Omeka-S-module-DiigoImport" TargetMode="External" /><Relationship Type="http://schemas.openxmlformats.org/officeDocument/2006/relationships/hyperlink" Id="rId262" Target="https://github.com/samszo/Omeka-S-module-JDC" TargetMode="External" /><Relationship Type="http://schemas.openxmlformats.org/officeDocument/2006/relationships/hyperlink" Id="rId499" Target="https://github.com/samszo/Omeka-S-module-JDC/blob/master/src/View/Helper/JDCViewHelper.php#L169" TargetMode="External" /><Relationship Type="http://schemas.openxmlformats.org/officeDocument/2006/relationships/hyperlink" Id="rId197" Target="https://github.com/samszo/Omeka-S-module-JDC/blob/master/src/View/Helper/JDCViewHelper.php#L234" TargetMode="External" /><Relationship Type="http://schemas.openxmlformats.org/officeDocument/2006/relationships/hyperlink" Id="rId74" Target="https://github.com/samszo/Omeka-S-module-Scraping" TargetMode="External" /><Relationship Type="http://schemas.openxmlformats.org/officeDocument/2006/relationships/hyperlink" Id="rId76" Target="https://github.com/samszo/Omeka-S-module-Scraping/blob/main/data/exemples/moliereParPiece.json" TargetMode="External" /><Relationship Type="http://schemas.openxmlformats.org/officeDocument/2006/relationships/hyperlink" Id="rId260" Target="https://github.com/samszo/ZoteroImportPlus" TargetMode="External" /><Relationship Type="http://schemas.openxmlformats.org/officeDocument/2006/relationships/hyperlink" Id="rId425" Target="https://gitlab.com/Daniel-KM/Omeka-S-module-Annotate" TargetMode="External" /><Relationship Type="http://schemas.openxmlformats.org/officeDocument/2006/relationships/hyperlink" Id="rId157" Target="https://gitlab.com/Daniel-KM/Omeka-S-module-BulkImport" TargetMode="External" /><Relationship Type="http://schemas.openxmlformats.org/officeDocument/2006/relationships/hyperlink" Id="rId753" Target="https://hal-univ-paris8.archives-ouvertes.fr/hal-01098436" TargetMode="External" /><Relationship Type="http://schemas.openxmlformats.org/officeDocument/2006/relationships/hyperlink" Id="rId677" Target="https://hal.archives-ouvertes.fr/hal-03573956" TargetMode="External" /><Relationship Type="http://schemas.openxmlformats.org/officeDocument/2006/relationships/hyperlink" Id="rId771" Target="https://hal.archives-ouvertes.fr/hal-03618819" TargetMode="External" /><Relationship Type="http://schemas.openxmlformats.org/officeDocument/2006/relationships/hyperlink" Id="rId721" Target="https://hal.science/hal-04055239" TargetMode="External" /><Relationship Type="http://schemas.openxmlformats.org/officeDocument/2006/relationships/hyperlink" Id="rId746" Target="https://hal.science/hal-04148454" TargetMode="External" /><Relationship Type="http://schemas.openxmlformats.org/officeDocument/2006/relationships/hyperlink" Id="rId714" Target="https://hal.science/tel-04015572/document" TargetMode="External" /><Relationship Type="http://schemas.openxmlformats.org/officeDocument/2006/relationships/hyperlink" Id="rId436" Target="https://informationisbeautiful.net/visualizations/a-taxonomy-of-ideas/" TargetMode="External" /><Relationship Type="http://schemas.openxmlformats.org/officeDocument/2006/relationships/hyperlink" Id="rId618" Target="https://intelligibilite-numerique.numerev.com/manifeste" TargetMode="External" /><Relationship Type="http://schemas.openxmlformats.org/officeDocument/2006/relationships/hyperlink" Id="rId443" Target="https://isni.org/" TargetMode="External" /><Relationship Type="http://schemas.openxmlformats.org/officeDocument/2006/relationships/hyperlink" Id="rId645" Target="https://journals.openedition.org/assr/29717" TargetMode="External" /><Relationship Type="http://schemas.openxmlformats.org/officeDocument/2006/relationships/hyperlink" Id="rId688" Target="https://journals.openedition.org/physio-geo/9186" TargetMode="External" /><Relationship Type="http://schemas.openxmlformats.org/officeDocument/2006/relationships/hyperlink" Id="rId633" Target="https://journals.openedition.org/revuehn/3349" TargetMode="External" /><Relationship Type="http://schemas.openxmlformats.org/officeDocument/2006/relationships/hyperlink" Id="rId302" Target="https://leafletjs.com/" TargetMode="External" /><Relationship Type="http://schemas.openxmlformats.org/officeDocument/2006/relationships/hyperlink" Id="rId464" Target="https://levelup.gitconnected.com/how-to-make-your-code-reusable-891ea5db415c" TargetMode="External" /><Relationship Type="http://schemas.openxmlformats.org/officeDocument/2006/relationships/hyperlink" Id="rId734" Target="https://liberconference.eu/wp-content/uploads/2023/06/LIBER_2023_conf_book_website_NEW.pdf" TargetMode="External" /><Relationship Type="http://schemas.openxmlformats.org/officeDocument/2006/relationships/hyperlink" Id="rId281" Target="https://observablehq.com/@d3/gallery?utm_source=d3js-org&amp;utm_medium=hero&amp;utm_campaign=try-observable#maps" TargetMode="External" /><Relationship Type="http://schemas.openxmlformats.org/officeDocument/2006/relationships/hyperlink" Id="rId69" Target="https://obvil.sorbonne-universite.fr/corpus/moliere/moliere" TargetMode="External" /><Relationship Type="http://schemas.openxmlformats.org/officeDocument/2006/relationships/hyperlink" Id="rId246" Target="https://omeka.org/s/" TargetMode="External" /><Relationship Type="http://schemas.openxmlformats.org/officeDocument/2006/relationships/hyperlink" Id="rId719" Target="https://pierrelevyblog.com/2023/07/12/intelligence-collective-intelligence-artificielle-et-partage-du-savoir/" TargetMode="External" /><Relationship Type="http://schemas.openxmlformats.org/officeDocument/2006/relationships/hyperlink" Id="rId26" Target="https://quarto.org/docs/get-started/hello/vscode.html" TargetMode="External" /><Relationship Type="http://schemas.openxmlformats.org/officeDocument/2006/relationships/hyperlink" Id="rId254" Target="https://raw.githubusercontent.com/samszo/Omeka-S-module-JDC/master/data/vocabularies/fup8.ttl" TargetMode="External" /><Relationship Type="http://schemas.openxmlformats.org/officeDocument/2006/relationships/hyperlink" Id="rId252" Target="https://raw.githubusercontent.com/samszo/Omeka-S-module-JDC/master/data/vocabularies/jdc.ttl" TargetMode="External" /><Relationship Type="http://schemas.openxmlformats.org/officeDocument/2006/relationships/hyperlink" Id="rId639"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306" Target="https://samszo.github.io/StatsHAL/world.html?q=Samuel%20Szoniecky" TargetMode="External" /><Relationship Type="http://schemas.openxmlformats.org/officeDocument/2006/relationships/hyperlink" Id="rId238" Target="https://samszo.univ-paris8.fr/conf_errance/cours_systeme-information-programation-internet/slide.html?diapo=5" TargetMode="External" /><Relationship Type="http://schemas.openxmlformats.org/officeDocument/2006/relationships/hyperlink" Id="rId250" Target="https://samszo.univ-paris8.fr/omk/api" TargetMode="External" /><Relationship Type="http://schemas.openxmlformats.org/officeDocument/2006/relationships/hyperlink" Id="rId256" Target="https://samszo.univ-paris8.fr/omk/api/resource_templates" TargetMode="External" /><Relationship Type="http://schemas.openxmlformats.org/officeDocument/2006/relationships/hyperlink" Id="rId320" Target="https://spinoza.fr/les-genres-de-connaissance-extrait-du-cours-de-gilles-deleuze/" TargetMode="External" /><Relationship Type="http://schemas.openxmlformats.org/officeDocument/2006/relationships/hyperlink" Id="rId716" Target="https://tel.archives-ouvertes.fr/tel-00460708/document" TargetMode="External" /><Relationship Type="http://schemas.openxmlformats.org/officeDocument/2006/relationships/hyperlink" Id="rId705" Target="https://tel.archives-ouvertes.fr/tel-02637029" TargetMode="External" /><Relationship Type="http://schemas.openxmlformats.org/officeDocument/2006/relationships/hyperlink" Id="rId732"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764" Target="https://www.academia.edu/28638189/2016_-_Generative_Stein_Poems" TargetMode="External" /><Relationship Type="http://schemas.openxmlformats.org/officeDocument/2006/relationships/hyperlink" Id="rId447" Target="https://www.bnf.fr/fr/recuperer-les-donnees-de-la-bnf-selon-les-standards-du-web-semantique" TargetMode="External" /><Relationship Type="http://schemas.openxmlformats.org/officeDocument/2006/relationships/hyperlink" Id="rId643" Target="https://www.cairn.info/a-quoi-revent-les-algorithmes--9782021279962-p-105.htm" TargetMode="External" /><Relationship Type="http://schemas.openxmlformats.org/officeDocument/2006/relationships/hyperlink" Id="rId654" Target="https://www.cairn.info/education-philosophique--9782130458975-page-86.htm" TargetMode="External" /><Relationship Type="http://schemas.openxmlformats.org/officeDocument/2006/relationships/hyperlink" Id="rId630" Target="https://www.cairn.info/la-representation-des-donnees-geographiques--9782200617820.htm" TargetMode="External" /><Relationship Type="http://schemas.openxmlformats.org/officeDocument/2006/relationships/hyperlink" Id="rId681" Target="https://www.cairn.info/revue-i2d-information-donnees-et-documents-2015-2-page-32.htm" TargetMode="External" /><Relationship Type="http://schemas.openxmlformats.org/officeDocument/2006/relationships/hyperlink" Id="rId614" Target="https://www.cairn.info/revue-i2d-information-donnees-et-documents-2022-2-page-8.htm" TargetMode="External" /><Relationship Type="http://schemas.openxmlformats.org/officeDocument/2006/relationships/hyperlink" Id="rId762" Target="https://www.cairn.info/revue-les-cahiers-du-numerique-2020-2-page-175.htm" TargetMode="External" /><Relationship Type="http://schemas.openxmlformats.org/officeDocument/2006/relationships/hyperlink" Id="rId660" Target="https://www.cairn.info/revue-multitudes-2021-4-page-129.htm" TargetMode="External" /><Relationship Type="http://schemas.openxmlformats.org/officeDocument/2006/relationships/hyperlink" Id="rId549" Target="https://www.cairn.info/revue-techniques-et-culture-2020-1-page-208.htm" TargetMode="External" /><Relationship Type="http://schemas.openxmlformats.org/officeDocument/2006/relationships/hyperlink" Id="rId445" Target="https://www.cnil.fr/fr/les-bases-legales/consentement" TargetMode="External" /><Relationship Type="http://schemas.openxmlformats.org/officeDocument/2006/relationships/hyperlink" Id="rId285" Target="https://www.diigo.com/user/luckysemiosis?query=%23spatiotempo" TargetMode="External" /><Relationship Type="http://schemas.openxmlformats.org/officeDocument/2006/relationships/hyperlink" Id="rId658" Target="https://www.erudit.org/fr/revues/npss/2009-v4-n2-npss03175/1040904ar/" TargetMode="External" /><Relationship Type="http://schemas.openxmlformats.org/officeDocument/2006/relationships/hyperlink" Id="rId773" Target="https://www.espacestemps.net/articles/pretopologie-espaces-habites/" TargetMode="External" /><Relationship Type="http://schemas.openxmlformats.org/officeDocument/2006/relationships/hyperlink" Id="rId597" Target="https://www.orkg.org/" TargetMode="External" /><Relationship Type="http://schemas.openxmlformats.org/officeDocument/2006/relationships/hyperlink" Id="rId686" Target="https://www.persee.fr/doc/intel_0769-4113_2001_num_32_1_1617" TargetMode="External" /><Relationship Type="http://schemas.openxmlformats.org/officeDocument/2006/relationships/hyperlink" Id="rId741" Target="https://www.persee.fr/doc/spgeo_0046-2497_1996_num_25_1_951" TargetMode="External" /><Relationship Type="http://schemas.openxmlformats.org/officeDocument/2006/relationships/hyperlink" Id="rId360" Target="https://www.redblobgames.com/grids/hexagons/" TargetMode="External" /><Relationship Type="http://schemas.openxmlformats.org/officeDocument/2006/relationships/hyperlink" Id="rId361" Target="https://www.redblobgames.com/grids/hexagons/implementation.html" TargetMode="External" /><Relationship Type="http://schemas.openxmlformats.org/officeDocument/2006/relationships/hyperlink" Id="rId451" Target="https://www.w3.org/RDF/" TargetMode="External" /><Relationship Type="http://schemas.openxmlformats.org/officeDocument/2006/relationships/hyperlink" Id="rId369" Target="https://www.w3.org/TR/skos-reference/#semantic-relations/" TargetMode="External" /><Relationship Type="http://schemas.openxmlformats.org/officeDocument/2006/relationships/hyperlink" Id="rId248" Target="https://www.w3.org/egov/wiki/Linked_Open_Data"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87"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695"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41" Target="http://archivesic.ccsd.cnrs.fr/sic_00713487" TargetMode="External" /><Relationship Type="http://schemas.openxmlformats.org/officeDocument/2006/relationships/hyperlink" Id="rId779" Target="http://blog.sens-public.org/marcellovitalirosati/cequipourrait/ieml.html" TargetMode="External" /><Relationship Type="http://schemas.openxmlformats.org/officeDocument/2006/relationships/hyperlink" Id="rId656" Target="http://books.openedition.org/pufc/13838" TargetMode="External" /><Relationship Type="http://schemas.openxmlformats.org/officeDocument/2006/relationships/hyperlink" Id="rId700" Target="http://dcevents.dublincore.org/IntConf/dc-2011/paper/view/69" TargetMode="External" /><Relationship Type="http://schemas.openxmlformats.org/officeDocument/2006/relationships/hyperlink" Id="rId760" Target="http://europia.org/RIHM/V20N1/3-RIHM20V1-samszo.pdf" TargetMode="External" /><Relationship Type="http://schemas.openxmlformats.org/officeDocument/2006/relationships/hyperlink" Id="rId670" Target="http://id.erudit.org/iderudit/014932ar" TargetMode="External" /><Relationship Type="http://schemas.openxmlformats.org/officeDocument/2006/relationships/hyperlink" Id="rId528" Target="http://intelligibilite-numerique.numerev.com/numeros/n-3-2022/2629-ingenierie-semiotique-et-modelisation-diagrammatique-au-dela-du-modele-de-turing" TargetMode="External" /><Relationship Type="http://schemas.openxmlformats.org/officeDocument/2006/relationships/hyperlink" Id="rId785" Target="http://journals.openedition.org/corela/4540" TargetMode="External" /><Relationship Type="http://schemas.openxmlformats.org/officeDocument/2006/relationships/hyperlink" Id="rId628" Target="http://journals.openedition.org/questionsdecommunication/10442" TargetMode="External" /><Relationship Type="http://schemas.openxmlformats.org/officeDocument/2006/relationships/hyperlink" Id="rId736" Target="http://journals.openedition.org/rac/2554" TargetMode="External" /><Relationship Type="http://schemas.openxmlformats.org/officeDocument/2006/relationships/hyperlink" Id="rId767" Target="http://lcn.revuesonline.com/article.jsp?articleId=17695" TargetMode="External" /><Relationship Type="http://schemas.openxmlformats.org/officeDocument/2006/relationships/hyperlink" Id="rId78" Target="http://localhost/omk_moliere/s/theatre-de-moliere/item?resource_class_id%5B%5D=1017&amp;sort_by=created&amp;sort_order=desc&amp;submit=Search" TargetMode="External" /><Relationship Type="http://schemas.openxmlformats.org/officeDocument/2006/relationships/hyperlink" Id="rId219" Target="http://localhost/samszo/HDR/docs/jdcStream.html?cat=annotations" TargetMode="External" /><Relationship Type="http://schemas.openxmlformats.org/officeDocument/2006/relationships/hyperlink" Id="rId214" Target="http://localhost/samszo/HDR/docs/jdcStream.html?cat=projets" TargetMode="External" /><Relationship Type="http://schemas.openxmlformats.org/officeDocument/2006/relationships/hyperlink" Id="rId205" Target="http://localhost/samszo/HDR/docs/jdcStream.html?cat=publications" TargetMode="External" /><Relationship Type="http://schemas.openxmlformats.org/officeDocument/2006/relationships/hyperlink" Id="rId195" Target="http://localhost/samszo/omk/s/cartoaffect/page/ajax?json=1&amp;helper=JDC&amp;action=getStream&amp;id=61225" TargetMode="External" /><Relationship Type="http://schemas.openxmlformats.org/officeDocument/2006/relationships/hyperlink" Id="rId44" Target="http://localhost/samszo/omk/s/fiches/item/299342" TargetMode="External" /><Relationship Type="http://schemas.openxmlformats.org/officeDocument/2006/relationships/hyperlink" Id="rId43" Target="http://localhost/samszo/omk/s/fiches/item/299343" TargetMode="External" /><Relationship Type="http://schemas.openxmlformats.org/officeDocument/2006/relationships/hyperlink" Id="rId57" Target="http://localhost/samszo/omk/s/fiches/item/299601" TargetMode="External" /><Relationship Type="http://schemas.openxmlformats.org/officeDocument/2006/relationships/hyperlink" Id="rId58" Target="http://localhost/samszo/omk/s/fiches/item/300716" TargetMode="External" /><Relationship Type="http://schemas.openxmlformats.org/officeDocument/2006/relationships/hyperlink" Id="rId56" Target="http://localhost/samszo/omk/s/fiches/item/300719" TargetMode="External" /><Relationship Type="http://schemas.openxmlformats.org/officeDocument/2006/relationships/hyperlink" Id="rId47" Target="http://localhost/samszo/omk/s/fiches/item/541197" TargetMode="External" /><Relationship Type="http://schemas.openxmlformats.org/officeDocument/2006/relationships/hyperlink" Id="rId48" Target="http://localhost/samszo/omk/s/fiches/item/541243" TargetMode="External" /><Relationship Type="http://schemas.openxmlformats.org/officeDocument/2006/relationships/hyperlink" Id="rId45" Target="http://localhost/samszo/omk/s/fiches/item/61108" TargetMode="External" /><Relationship Type="http://schemas.openxmlformats.org/officeDocument/2006/relationships/hyperlink" Id="rId55" Target="http://localhost/samszo/omk/s/fiches/item/61148" TargetMode="External" /><Relationship Type="http://schemas.openxmlformats.org/officeDocument/2006/relationships/hyperlink" Id="rId54" Target="http://localhost/samszo/omk/s/fiches/item/61153" TargetMode="External" /><Relationship Type="http://schemas.openxmlformats.org/officeDocument/2006/relationships/hyperlink" Id="rId46" Target="http://localhost/samszo/omk/s/fiches/item/61970" TargetMode="External" /><Relationship Type="http://schemas.openxmlformats.org/officeDocument/2006/relationships/hyperlink" Id="rId757" Target="http://tel.archives-ouvertes.fr/tel-00764457" TargetMode="External" /><Relationship Type="http://schemas.openxmlformats.org/officeDocument/2006/relationships/hyperlink" Id="rId675" Target="http://terminal.revues.org/1227" TargetMode="External" /><Relationship Type="http://schemas.openxmlformats.org/officeDocument/2006/relationships/hyperlink" Id="rId707" Target="http://www.bruno-latour.fr/sites/default/files/98-SOURIAU-FR.pdf" TargetMode="External" /><Relationship Type="http://schemas.openxmlformats.org/officeDocument/2006/relationships/hyperlink" Id="rId620" Target="http://www.cairn.info/article.php?ID_ARTICLE=DOCSI_484_0024" TargetMode="External" /><Relationship Type="http://schemas.openxmlformats.org/officeDocument/2006/relationships/hyperlink" Id="rId750" Target="http://www.cs.umd.edu/hcil/treemap-history/" TargetMode="External" /><Relationship Type="http://schemas.openxmlformats.org/officeDocument/2006/relationships/hyperlink" Id="rId650" Target="http://www.lesateliersderennes.fr/sites/default/files/media/cequivientdenous.pdf" TargetMode="External" /><Relationship Type="http://schemas.openxmlformats.org/officeDocument/2006/relationships/hyperlink" Id="rId415" Target="http://www.openannotation.org/" TargetMode="External" /><Relationship Type="http://schemas.openxmlformats.org/officeDocument/2006/relationships/hyperlink" Id="rId769" Target="http://www.scitepress.org/DigitalLibrary/Link.aspx?doi=10.5220/0007751703990407" TargetMode="External" /><Relationship Type="http://schemas.openxmlformats.org/officeDocument/2006/relationships/hyperlink" Id="rId755" Target="http://www.sfsic.org/%C3%A9v%C3%A9nements-sfsic/doctorales-2011/doctorales-2011--publication-des-actes" TargetMode="External" /><Relationship Type="http://schemas.openxmlformats.org/officeDocument/2006/relationships/hyperlink" Id="rId663" Target="http://www2.univ-paris8.fr/deleuze/article.php3?id_article=151" TargetMode="External" /><Relationship Type="http://schemas.openxmlformats.org/officeDocument/2006/relationships/hyperlink" Id="rId712" Target="https://ai.meta.com/blog/yann-lecun-advances-in-ai-research/" TargetMode="External" /><Relationship Type="http://schemas.openxmlformats.org/officeDocument/2006/relationships/hyperlink" Id="rId179" Target="https://bit.ly/3Qj1NRm" TargetMode="External" /><Relationship Type="http://schemas.openxmlformats.org/officeDocument/2006/relationships/hyperlink" Id="rId313" Target="https://bit.ly/3r9ROUa" TargetMode="External" /><Relationship Type="http://schemas.openxmlformats.org/officeDocument/2006/relationships/hyperlink" Id="rId739" Target="https://bnf.hypotheses.org/12976" TargetMode="External" /><Relationship Type="http://schemas.openxmlformats.org/officeDocument/2006/relationships/hyperlink" Id="rId276" Target="https://commons.wikimedia.org/wiki/File:Rectangular_coordinates.svg" TargetMode="External" /><Relationship Type="http://schemas.openxmlformats.org/officeDocument/2006/relationships/hyperlink" Id="rId270" Target="https://commons.wikimedia.org/wiki/File:Rovinna_kartezska_soustava_souradnic.svg" TargetMode="External" /><Relationship Type="http://schemas.openxmlformats.org/officeDocument/2006/relationships/hyperlink" Id="rId279" Target="https://developer.mozilla.org/en-US/docs/Web/SVG" TargetMode="External" /><Relationship Type="http://schemas.openxmlformats.org/officeDocument/2006/relationships/hyperlink" Id="rId616"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166" Target="https://docs.google.com/spreadsheets/d/1W92NdhcMurFO96Et82MOYL43fvFrdOB6nLGF-QeCrkY/edit?usp=sharing" TargetMode="External" /><Relationship Type="http://schemas.openxmlformats.org/officeDocument/2006/relationships/hyperlink" Id="rId159" Target="https://docs.google.com/spreadsheets/d/1ap0Q6l8bK9Y8wB21xfCAk9qeJ-Gfa6XAjO-cVk2LxdI/edit?usp=sharing" TargetMode="External" /><Relationship Type="http://schemas.openxmlformats.org/officeDocument/2006/relationships/hyperlink" Id="rId776" Target="https://doi.org/10.1145/3240117.3240134" TargetMode="External" /><Relationship Type="http://schemas.openxmlformats.org/officeDocument/2006/relationships/hyperlink" Id="rId551" Target="https://doi.org/10.25965/interfaces-numeriques.386" TargetMode="External" /><Relationship Type="http://schemas.openxmlformats.org/officeDocument/2006/relationships/hyperlink" Id="rId535" Target="https://doi.org/10.3917/rdes.097.0158" TargetMode="External" /><Relationship Type="http://schemas.openxmlformats.org/officeDocument/2006/relationships/hyperlink" Id="rId210" Target="https://erua-eui.eu/" TargetMode="External" /><Relationship Type="http://schemas.openxmlformats.org/officeDocument/2006/relationships/hyperlink" Id="rId208" Target="https://eur-artec.fr/" TargetMode="External" /><Relationship Type="http://schemas.openxmlformats.org/officeDocument/2006/relationships/hyperlink" Id="rId304" Target="https://fr.wikipedia.org/wiki/GeoJSON" TargetMode="External" /><Relationship Type="http://schemas.openxmlformats.org/officeDocument/2006/relationships/hyperlink" Id="rId626" Target="https://gephi.org/publications/gephi-bastian-feb09.pdf" TargetMode="External" /><Relationship Type="http://schemas.openxmlformats.org/officeDocument/2006/relationships/hyperlink" Id="rId287" Target="https://github.com/d3/d3-geo-projection" TargetMode="External" /><Relationship Type="http://schemas.openxmlformats.org/officeDocument/2006/relationships/hyperlink" Id="rId191" Target="https://github.com/huyen-nguyen" TargetMode="External" /><Relationship Type="http://schemas.openxmlformats.org/officeDocument/2006/relationships/hyperlink" Id="rId192" Target="https://github.com/iDataVisualizationLab/WordStream" TargetMode="External" /><Relationship Type="http://schemas.openxmlformats.org/officeDocument/2006/relationships/hyperlink" Id="rId244" Target="https://github.com/samszo" TargetMode="External" /><Relationship Type="http://schemas.openxmlformats.org/officeDocument/2006/relationships/hyperlink" Id="rId577" Target="https://github.com/samszo/ChaoticumSeminario" TargetMode="External" /><Relationship Type="http://schemas.openxmlformats.org/officeDocument/2006/relationships/hyperlink" Id="rId193" Target="https://github.com/samszo/HDR/blob/main/docs/modules/streamWords.js" TargetMode="External" /><Relationship Type="http://schemas.openxmlformats.org/officeDocument/2006/relationships/hyperlink" Id="rId363" Target="https://github.com/samszo/HDR/docs/jdcCartoHexa.html" TargetMode="External" /><Relationship Type="http://schemas.openxmlformats.org/officeDocument/2006/relationships/hyperlink" Id="rId264" Target="https://github.com/samszo/Omeka-S-module-CartoAffect" TargetMode="External" /><Relationship Type="http://schemas.openxmlformats.org/officeDocument/2006/relationships/hyperlink" Id="rId258" Target="https://github.com/samszo/Omeka-S-module-DiigoImport" TargetMode="External" /><Relationship Type="http://schemas.openxmlformats.org/officeDocument/2006/relationships/hyperlink" Id="rId262" Target="https://github.com/samszo/Omeka-S-module-JDC" TargetMode="External" /><Relationship Type="http://schemas.openxmlformats.org/officeDocument/2006/relationships/hyperlink" Id="rId499" Target="https://github.com/samszo/Omeka-S-module-JDC/blob/master/src/View/Helper/JDCViewHelper.php#L169" TargetMode="External" /><Relationship Type="http://schemas.openxmlformats.org/officeDocument/2006/relationships/hyperlink" Id="rId197" Target="https://github.com/samszo/Omeka-S-module-JDC/blob/master/src/View/Helper/JDCViewHelper.php#L234" TargetMode="External" /><Relationship Type="http://schemas.openxmlformats.org/officeDocument/2006/relationships/hyperlink" Id="rId74" Target="https://github.com/samszo/Omeka-S-module-Scraping" TargetMode="External" /><Relationship Type="http://schemas.openxmlformats.org/officeDocument/2006/relationships/hyperlink" Id="rId76" Target="https://github.com/samszo/Omeka-S-module-Scraping/blob/main/data/exemples/moliereParPiece.json" TargetMode="External" /><Relationship Type="http://schemas.openxmlformats.org/officeDocument/2006/relationships/hyperlink" Id="rId260" Target="https://github.com/samszo/ZoteroImportPlus" TargetMode="External" /><Relationship Type="http://schemas.openxmlformats.org/officeDocument/2006/relationships/hyperlink" Id="rId425" Target="https://gitlab.com/Daniel-KM/Omeka-S-module-Annotate" TargetMode="External" /><Relationship Type="http://schemas.openxmlformats.org/officeDocument/2006/relationships/hyperlink" Id="rId157" Target="https://gitlab.com/Daniel-KM/Omeka-S-module-BulkImport" TargetMode="External" /><Relationship Type="http://schemas.openxmlformats.org/officeDocument/2006/relationships/hyperlink" Id="rId753" Target="https://hal-univ-paris8.archives-ouvertes.fr/hal-01098436" TargetMode="External" /><Relationship Type="http://schemas.openxmlformats.org/officeDocument/2006/relationships/hyperlink" Id="rId677" Target="https://hal.archives-ouvertes.fr/hal-03573956" TargetMode="External" /><Relationship Type="http://schemas.openxmlformats.org/officeDocument/2006/relationships/hyperlink" Id="rId771" Target="https://hal.archives-ouvertes.fr/hal-03618819" TargetMode="External" /><Relationship Type="http://schemas.openxmlformats.org/officeDocument/2006/relationships/hyperlink" Id="rId721" Target="https://hal.science/hal-04055239" TargetMode="External" /><Relationship Type="http://schemas.openxmlformats.org/officeDocument/2006/relationships/hyperlink" Id="rId746" Target="https://hal.science/hal-04148454" TargetMode="External" /><Relationship Type="http://schemas.openxmlformats.org/officeDocument/2006/relationships/hyperlink" Id="rId714" Target="https://hal.science/tel-04015572/document" TargetMode="External" /><Relationship Type="http://schemas.openxmlformats.org/officeDocument/2006/relationships/hyperlink" Id="rId436" Target="https://informationisbeautiful.net/visualizations/a-taxonomy-of-ideas/" TargetMode="External" /><Relationship Type="http://schemas.openxmlformats.org/officeDocument/2006/relationships/hyperlink" Id="rId618" Target="https://intelligibilite-numerique.numerev.com/manifeste" TargetMode="External" /><Relationship Type="http://schemas.openxmlformats.org/officeDocument/2006/relationships/hyperlink" Id="rId443" Target="https://isni.org/" TargetMode="External" /><Relationship Type="http://schemas.openxmlformats.org/officeDocument/2006/relationships/hyperlink" Id="rId645" Target="https://journals.openedition.org/assr/29717" TargetMode="External" /><Relationship Type="http://schemas.openxmlformats.org/officeDocument/2006/relationships/hyperlink" Id="rId688" Target="https://journals.openedition.org/physio-geo/9186" TargetMode="External" /><Relationship Type="http://schemas.openxmlformats.org/officeDocument/2006/relationships/hyperlink" Id="rId633" Target="https://journals.openedition.org/revuehn/3349" TargetMode="External" /><Relationship Type="http://schemas.openxmlformats.org/officeDocument/2006/relationships/hyperlink" Id="rId302" Target="https://leafletjs.com/" TargetMode="External" /><Relationship Type="http://schemas.openxmlformats.org/officeDocument/2006/relationships/hyperlink" Id="rId464" Target="https://levelup.gitconnected.com/how-to-make-your-code-reusable-891ea5db415c" TargetMode="External" /><Relationship Type="http://schemas.openxmlformats.org/officeDocument/2006/relationships/hyperlink" Id="rId734" Target="https://liberconference.eu/wp-content/uploads/2023/06/LIBER_2023_conf_book_website_NEW.pdf" TargetMode="External" /><Relationship Type="http://schemas.openxmlformats.org/officeDocument/2006/relationships/hyperlink" Id="rId281" Target="https://observablehq.com/@d3/gallery?utm_source=d3js-org&amp;utm_medium=hero&amp;utm_campaign=try-observable#maps" TargetMode="External" /><Relationship Type="http://schemas.openxmlformats.org/officeDocument/2006/relationships/hyperlink" Id="rId69" Target="https://obvil.sorbonne-universite.fr/corpus/moliere/moliere" TargetMode="External" /><Relationship Type="http://schemas.openxmlformats.org/officeDocument/2006/relationships/hyperlink" Id="rId246" Target="https://omeka.org/s/" TargetMode="External" /><Relationship Type="http://schemas.openxmlformats.org/officeDocument/2006/relationships/hyperlink" Id="rId719" Target="https://pierrelevyblog.com/2023/07/12/intelligence-collective-intelligence-artificielle-et-partage-du-savoir/" TargetMode="External" /><Relationship Type="http://schemas.openxmlformats.org/officeDocument/2006/relationships/hyperlink" Id="rId26" Target="https://quarto.org/docs/get-started/hello/vscode.html" TargetMode="External" /><Relationship Type="http://schemas.openxmlformats.org/officeDocument/2006/relationships/hyperlink" Id="rId254" Target="https://raw.githubusercontent.com/samszo/Omeka-S-module-JDC/master/data/vocabularies/fup8.ttl" TargetMode="External" /><Relationship Type="http://schemas.openxmlformats.org/officeDocument/2006/relationships/hyperlink" Id="rId252" Target="https://raw.githubusercontent.com/samszo/Omeka-S-module-JDC/master/data/vocabularies/jdc.ttl" TargetMode="External" /><Relationship Type="http://schemas.openxmlformats.org/officeDocument/2006/relationships/hyperlink" Id="rId639"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306" Target="https://samszo.github.io/StatsHAL/world.html?q=Samuel%20Szoniecky" TargetMode="External" /><Relationship Type="http://schemas.openxmlformats.org/officeDocument/2006/relationships/hyperlink" Id="rId238" Target="https://samszo.univ-paris8.fr/conf_errance/cours_systeme-information-programation-internet/slide.html?diapo=5" TargetMode="External" /><Relationship Type="http://schemas.openxmlformats.org/officeDocument/2006/relationships/hyperlink" Id="rId250" Target="https://samszo.univ-paris8.fr/omk/api" TargetMode="External" /><Relationship Type="http://schemas.openxmlformats.org/officeDocument/2006/relationships/hyperlink" Id="rId256" Target="https://samszo.univ-paris8.fr/omk/api/resource_templates" TargetMode="External" /><Relationship Type="http://schemas.openxmlformats.org/officeDocument/2006/relationships/hyperlink" Id="rId320" Target="https://spinoza.fr/les-genres-de-connaissance-extrait-du-cours-de-gilles-deleuze/" TargetMode="External" /><Relationship Type="http://schemas.openxmlformats.org/officeDocument/2006/relationships/hyperlink" Id="rId716" Target="https://tel.archives-ouvertes.fr/tel-00460708/document" TargetMode="External" /><Relationship Type="http://schemas.openxmlformats.org/officeDocument/2006/relationships/hyperlink" Id="rId705" Target="https://tel.archives-ouvertes.fr/tel-02637029" TargetMode="External" /><Relationship Type="http://schemas.openxmlformats.org/officeDocument/2006/relationships/hyperlink" Id="rId732"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764" Target="https://www.academia.edu/28638189/2016_-_Generative_Stein_Poems" TargetMode="External" /><Relationship Type="http://schemas.openxmlformats.org/officeDocument/2006/relationships/hyperlink" Id="rId447" Target="https://www.bnf.fr/fr/recuperer-les-donnees-de-la-bnf-selon-les-standards-du-web-semantique" TargetMode="External" /><Relationship Type="http://schemas.openxmlformats.org/officeDocument/2006/relationships/hyperlink" Id="rId643" Target="https://www.cairn.info/a-quoi-revent-les-algorithmes--9782021279962-p-105.htm" TargetMode="External" /><Relationship Type="http://schemas.openxmlformats.org/officeDocument/2006/relationships/hyperlink" Id="rId654" Target="https://www.cairn.info/education-philosophique--9782130458975-page-86.htm" TargetMode="External" /><Relationship Type="http://schemas.openxmlformats.org/officeDocument/2006/relationships/hyperlink" Id="rId630" Target="https://www.cairn.info/la-representation-des-donnees-geographiques--9782200617820.htm" TargetMode="External" /><Relationship Type="http://schemas.openxmlformats.org/officeDocument/2006/relationships/hyperlink" Id="rId681" Target="https://www.cairn.info/revue-i2d-information-donnees-et-documents-2015-2-page-32.htm" TargetMode="External" /><Relationship Type="http://schemas.openxmlformats.org/officeDocument/2006/relationships/hyperlink" Id="rId614" Target="https://www.cairn.info/revue-i2d-information-donnees-et-documents-2022-2-page-8.htm" TargetMode="External" /><Relationship Type="http://schemas.openxmlformats.org/officeDocument/2006/relationships/hyperlink" Id="rId762" Target="https://www.cairn.info/revue-les-cahiers-du-numerique-2020-2-page-175.htm" TargetMode="External" /><Relationship Type="http://schemas.openxmlformats.org/officeDocument/2006/relationships/hyperlink" Id="rId660" Target="https://www.cairn.info/revue-multitudes-2021-4-page-129.htm" TargetMode="External" /><Relationship Type="http://schemas.openxmlformats.org/officeDocument/2006/relationships/hyperlink" Id="rId549" Target="https://www.cairn.info/revue-techniques-et-culture-2020-1-page-208.htm" TargetMode="External" /><Relationship Type="http://schemas.openxmlformats.org/officeDocument/2006/relationships/hyperlink" Id="rId445" Target="https://www.cnil.fr/fr/les-bases-legales/consentement" TargetMode="External" /><Relationship Type="http://schemas.openxmlformats.org/officeDocument/2006/relationships/hyperlink" Id="rId285" Target="https://www.diigo.com/user/luckysemiosis?query=%23spatiotempo" TargetMode="External" /><Relationship Type="http://schemas.openxmlformats.org/officeDocument/2006/relationships/hyperlink" Id="rId658" Target="https://www.erudit.org/fr/revues/npss/2009-v4-n2-npss03175/1040904ar/" TargetMode="External" /><Relationship Type="http://schemas.openxmlformats.org/officeDocument/2006/relationships/hyperlink" Id="rId773" Target="https://www.espacestemps.net/articles/pretopologie-espaces-habites/" TargetMode="External" /><Relationship Type="http://schemas.openxmlformats.org/officeDocument/2006/relationships/hyperlink" Id="rId597" Target="https://www.orkg.org/" TargetMode="External" /><Relationship Type="http://schemas.openxmlformats.org/officeDocument/2006/relationships/hyperlink" Id="rId686" Target="https://www.persee.fr/doc/intel_0769-4113_2001_num_32_1_1617" TargetMode="External" /><Relationship Type="http://schemas.openxmlformats.org/officeDocument/2006/relationships/hyperlink" Id="rId741" Target="https://www.persee.fr/doc/spgeo_0046-2497_1996_num_25_1_951" TargetMode="External" /><Relationship Type="http://schemas.openxmlformats.org/officeDocument/2006/relationships/hyperlink" Id="rId360" Target="https://www.redblobgames.com/grids/hexagons/" TargetMode="External" /><Relationship Type="http://schemas.openxmlformats.org/officeDocument/2006/relationships/hyperlink" Id="rId361" Target="https://www.redblobgames.com/grids/hexagons/implementation.html" TargetMode="External" /><Relationship Type="http://schemas.openxmlformats.org/officeDocument/2006/relationships/hyperlink" Id="rId451" Target="https://www.w3.org/RDF/" TargetMode="External" /><Relationship Type="http://schemas.openxmlformats.org/officeDocument/2006/relationships/hyperlink" Id="rId369" Target="https://www.w3.org/TR/skos-reference/#semantic-relations/" TargetMode="External" /><Relationship Type="http://schemas.openxmlformats.org/officeDocument/2006/relationships/hyperlink" Id="rId248" Target="https://www.w3.org/egov/wiki/Linked_Open_Data"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87"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2024-04-17T07:53:06Z</dcterms:created>
  <dcterms:modified xsi:type="dcterms:W3CDTF">2024-04-17T07:53:06Z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4</vt:lpwstr>
  </property>
  <property fmtid="{D5CDD505-2E9C-101B-9397-08002B2CF9AE}" pid="17" name="subtitle">
    <vt:lpwstr>Note de Synthèse</vt:lpwstr>
  </property>
  <property fmtid="{D5CDD505-2E9C-101B-9397-08002B2CF9AE}" pid="18" name="template-partials">
    <vt:lpwstr/>
  </property>
  <property fmtid="{D5CDD505-2E9C-101B-9397-08002B2CF9AE}" pid="19" name="toc-title">
    <vt:lpwstr>Table of contents</vt:lpwstr>
  </property>
</Properties>
</file>